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240"/>
        <w:jc w:val="center"/>
        <w:rPr>
          <w:rFonts w:ascii="Times New Roman" w:hAnsi="Times New Roman"/>
          <w:b/>
          <w:sz w:val="28"/>
          <w:szCs w:val="28"/>
        </w:rPr>
      </w:pPr>
      <w:r>
        <w:rPr>
          <w:rFonts w:ascii="Times New Roman" w:hAnsi="Times New Roman"/>
          <w:b/>
          <w:sz w:val="28"/>
          <w:szCs w:val="28"/>
        </w:rPr>
        <w:t>Phụ</w:t>
      </w:r>
      <w:r>
        <w:rPr>
          <w:rFonts w:ascii="Times New Roman" w:hAnsi="Times New Roman"/>
          <w:b/>
          <w:sz w:val="28"/>
          <w:szCs w:val="28"/>
        </w:rPr>
        <w:t xml:space="preserve"> </w:t>
      </w:r>
      <w:r>
        <w:rPr>
          <w:rFonts w:ascii="Times New Roman" w:hAnsi="Times New Roman"/>
          <w:b/>
          <w:sz w:val="28"/>
          <w:szCs w:val="28"/>
        </w:rPr>
        <w:t>lục</w:t>
      </w:r>
      <w:r>
        <w:rPr>
          <w:rFonts w:ascii="Times New Roman" w:hAnsi="Times New Roman"/>
          <w:b/>
          <w:sz w:val="28"/>
          <w:szCs w:val="28"/>
        </w:rPr>
        <w:t xml:space="preserve"> </w:t>
      </w:r>
      <w:r>
        <w:rPr>
          <w:rFonts w:ascii="Times New Roman" w:hAnsi="Times New Roman"/>
          <w:b/>
          <w:sz w:val="28"/>
          <w:szCs w:val="28"/>
        </w:rPr>
        <w:t>2</w:t>
      </w:r>
    </w:p>
    <w:p>
      <w:pPr>
        <w:pStyle w:val="style0"/>
        <w:jc w:val="center"/>
        <w:rPr>
          <w:rFonts w:ascii="Times New Roman" w:hAnsi="Times New Roman"/>
          <w:b/>
          <w:sz w:val="28"/>
          <w:szCs w:val="28"/>
        </w:rPr>
      </w:pPr>
      <w:r>
        <w:rPr>
          <w:rFonts w:ascii="Times New Roman" w:hAnsi="Times New Roman"/>
          <w:b/>
          <w:sz w:val="28"/>
          <w:szCs w:val="28"/>
        </w:rPr>
        <w:t xml:space="preserve">CÁC CƠ CHẾ, CHÍNH SÁCH CÓ </w:t>
      </w:r>
      <w:r>
        <w:rPr>
          <w:rFonts w:ascii="Times New Roman" w:hAnsi="Times New Roman"/>
          <w:b/>
          <w:sz w:val="28"/>
          <w:szCs w:val="28"/>
        </w:rPr>
        <w:t xml:space="preserve">NỘI DUNG </w:t>
      </w:r>
      <w:r>
        <w:rPr>
          <w:rFonts w:ascii="Times New Roman" w:hAnsi="Times New Roman"/>
          <w:b/>
          <w:sz w:val="28"/>
          <w:szCs w:val="28"/>
        </w:rPr>
        <w:t xml:space="preserve">TƯƠNG TỰ </w:t>
      </w:r>
      <w:r>
        <w:rPr>
          <w:rFonts w:ascii="Times New Roman" w:hAnsi="Times New Roman"/>
          <w:b/>
          <w:sz w:val="28"/>
          <w:szCs w:val="28"/>
        </w:rPr>
        <w:t xml:space="preserve">ĐÃ ĐƯỢC QUY ĐỊNH TẠI </w:t>
      </w:r>
      <w:r>
        <w:rPr>
          <w:rFonts w:ascii="Times New Roman" w:hAnsi="Times New Roman"/>
          <w:b/>
          <w:sz w:val="28"/>
          <w:szCs w:val="28"/>
        </w:rPr>
        <w:t xml:space="preserve">CÁC </w:t>
      </w:r>
      <w:r>
        <w:rPr>
          <w:rFonts w:ascii="Times New Roman" w:hAnsi="Times New Roman"/>
          <w:b/>
          <w:sz w:val="28"/>
          <w:szCs w:val="28"/>
        </w:rPr>
        <w:t>NGHỊ QUYẾ</w:t>
      </w:r>
      <w:r>
        <w:rPr>
          <w:rFonts w:ascii="Times New Roman" w:hAnsi="Times New Roman"/>
          <w:b/>
          <w:sz w:val="28"/>
          <w:szCs w:val="28"/>
        </w:rPr>
        <w:t>T</w:t>
      </w:r>
      <w:r>
        <w:rPr>
          <w:rFonts w:ascii="Times New Roman" w:hAnsi="Times New Roman"/>
          <w:b/>
          <w:sz w:val="28"/>
          <w:szCs w:val="28"/>
        </w:rPr>
        <w:t xml:space="preserve"> </w:t>
      </w:r>
      <w:r>
        <w:rPr>
          <w:rFonts w:ascii="Times New Roman" w:hAnsi="Times New Roman"/>
          <w:b/>
          <w:sz w:val="28"/>
          <w:szCs w:val="28"/>
        </w:rPr>
        <w:t xml:space="preserve">ĐẶC THÙ </w:t>
      </w:r>
    </w:p>
    <w:p>
      <w:pPr>
        <w:pStyle w:val="style0"/>
        <w:jc w:val="center"/>
        <w:rPr>
          <w:rFonts w:ascii="Times New Roman" w:hAnsi="Times New Roman"/>
          <w:b/>
          <w:sz w:val="28"/>
          <w:szCs w:val="28"/>
        </w:rPr>
      </w:pPr>
      <w:r>
        <w:rPr>
          <w:rFonts w:ascii="Times New Roman" w:hAnsi="Times New Roman"/>
          <w:b/>
          <w:sz w:val="28"/>
          <w:szCs w:val="28"/>
        </w:rPr>
        <w:t>CỦA CÁC ĐỊA PHƯƠNG KHÁC</w:t>
      </w:r>
    </w:p>
    <w:p>
      <w:pPr>
        <w:pStyle w:val="style0"/>
        <w:rPr>
          <w:rFonts w:ascii="Times New Roman" w:hAnsi="Times New Roman"/>
          <w:b/>
          <w:bCs/>
          <w:sz w:val="26"/>
          <w:szCs w:val="26"/>
        </w:rPr>
      </w:pPr>
    </w:p>
    <w:tbl>
      <w:tblPr>
        <w:tblW w:w="1546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9798"/>
        <w:gridCol w:w="3543"/>
        <w:gridCol w:w="1560"/>
      </w:tblGrid>
      <w:tr>
        <w:trPr>
          <w:trHeight w:val="461" w:hRule="atLeast"/>
          <w:tblHeader/>
        </w:trPr>
        <w:tc>
          <w:tcPr>
            <w:tcW w:w="564" w:type="dxa"/>
            <w:tcBorders/>
            <w:shd w:val="clear" w:color="auto" w:fill="auto"/>
            <w:vAlign w:val="center"/>
          </w:tcPr>
          <w:p>
            <w:pPr>
              <w:pStyle w:val="style0"/>
              <w:jc w:val="center"/>
              <w:rPr>
                <w:rFonts w:ascii="Times New Roman" w:hAnsi="Times New Roman"/>
                <w:b/>
                <w:sz w:val="26"/>
                <w:szCs w:val="26"/>
              </w:rPr>
            </w:pPr>
            <w:r>
              <w:rPr>
                <w:rFonts w:ascii="Times New Roman" w:hAnsi="Times New Roman"/>
                <w:b/>
                <w:sz w:val="26"/>
                <w:szCs w:val="26"/>
              </w:rPr>
              <w:t>Stt</w:t>
            </w:r>
          </w:p>
        </w:tc>
        <w:tc>
          <w:tcPr>
            <w:tcW w:w="9798" w:type="dxa"/>
            <w:tcBorders/>
            <w:shd w:val="clear" w:color="auto" w:fill="auto"/>
            <w:vAlign w:val="center"/>
          </w:tcPr>
          <w:p>
            <w:pPr>
              <w:pStyle w:val="style0"/>
              <w:jc w:val="center"/>
              <w:rPr>
                <w:rFonts w:ascii="Times New Roman" w:hAnsi="Times New Roman"/>
                <w:b/>
                <w:sz w:val="26"/>
                <w:szCs w:val="26"/>
              </w:rPr>
            </w:pPr>
            <w:r>
              <w:rPr>
                <w:rFonts w:ascii="Times New Roman" w:hAnsi="Times New Roman"/>
                <w:b/>
                <w:sz w:val="26"/>
                <w:szCs w:val="26"/>
              </w:rPr>
              <w:t>Tên</w:t>
            </w:r>
            <w:r>
              <w:rPr>
                <w:rFonts w:ascii="Times New Roman" w:hAnsi="Times New Roman"/>
                <w:b/>
                <w:sz w:val="26"/>
                <w:szCs w:val="26"/>
              </w:rPr>
              <w:t xml:space="preserve"> </w:t>
            </w:r>
            <w:r>
              <w:rPr>
                <w:rFonts w:ascii="Times New Roman" w:hAnsi="Times New Roman"/>
                <w:b/>
                <w:sz w:val="26"/>
                <w:szCs w:val="26"/>
              </w:rPr>
              <w:t>nội</w:t>
            </w:r>
            <w:r>
              <w:rPr>
                <w:rFonts w:ascii="Times New Roman" w:hAnsi="Times New Roman"/>
                <w:b/>
                <w:sz w:val="26"/>
                <w:szCs w:val="26"/>
              </w:rPr>
              <w:t xml:space="preserve"> dung </w:t>
            </w:r>
            <w:r>
              <w:rPr>
                <w:rFonts w:ascii="Times New Roman" w:hAnsi="Times New Roman"/>
                <w:b/>
                <w:sz w:val="26"/>
                <w:szCs w:val="26"/>
              </w:rPr>
              <w:t>đề</w:t>
            </w:r>
            <w:r>
              <w:rPr>
                <w:rFonts w:ascii="Times New Roman" w:hAnsi="Times New Roman"/>
                <w:b/>
                <w:sz w:val="26"/>
                <w:szCs w:val="26"/>
              </w:rPr>
              <w:t xml:space="preserve"> </w:t>
            </w:r>
            <w:r>
              <w:rPr>
                <w:rFonts w:ascii="Times New Roman" w:hAnsi="Times New Roman"/>
                <w:b/>
                <w:sz w:val="26"/>
                <w:szCs w:val="26"/>
              </w:rPr>
              <w:t>xuất</w:t>
            </w:r>
            <w:r>
              <w:rPr>
                <w:rFonts w:ascii="Times New Roman" w:hAnsi="Times New Roman"/>
                <w:b/>
                <w:sz w:val="26"/>
                <w:szCs w:val="26"/>
              </w:rPr>
              <w:t xml:space="preserve"> </w:t>
            </w:r>
            <w:r>
              <w:rPr>
                <w:rFonts w:ascii="Times New Roman" w:hAnsi="Times New Roman"/>
                <w:b/>
                <w:sz w:val="26"/>
                <w:szCs w:val="26"/>
              </w:rPr>
              <w:t>trong</w:t>
            </w:r>
            <w:r>
              <w:rPr>
                <w:rFonts w:ascii="Times New Roman" w:hAnsi="Times New Roman"/>
                <w:b/>
                <w:sz w:val="26"/>
                <w:szCs w:val="26"/>
              </w:rPr>
              <w:t xml:space="preserve"> </w:t>
            </w:r>
            <w:r>
              <w:rPr>
                <w:rFonts w:ascii="Times New Roman" w:hAnsi="Times New Roman"/>
                <w:b/>
                <w:sz w:val="26"/>
                <w:szCs w:val="26"/>
              </w:rPr>
              <w:t>dự</w:t>
            </w:r>
            <w:r>
              <w:rPr>
                <w:rFonts w:ascii="Times New Roman" w:hAnsi="Times New Roman"/>
                <w:b/>
                <w:sz w:val="26"/>
                <w:szCs w:val="26"/>
              </w:rPr>
              <w:t xml:space="preserve"> </w:t>
            </w:r>
            <w:r>
              <w:rPr>
                <w:rFonts w:ascii="Times New Roman" w:hAnsi="Times New Roman"/>
                <w:b/>
                <w:sz w:val="26"/>
                <w:szCs w:val="26"/>
              </w:rPr>
              <w:t>thảo</w:t>
            </w:r>
            <w:r>
              <w:rPr>
                <w:rFonts w:ascii="Times New Roman" w:hAnsi="Times New Roman"/>
                <w:b/>
                <w:sz w:val="26"/>
                <w:szCs w:val="26"/>
              </w:rPr>
              <w:t xml:space="preserve"> </w:t>
            </w:r>
            <w:r>
              <w:rPr>
                <w:rFonts w:ascii="Times New Roman" w:hAnsi="Times New Roman"/>
                <w:b/>
                <w:sz w:val="26"/>
                <w:szCs w:val="26"/>
              </w:rPr>
              <w:t>Nghị</w:t>
            </w:r>
            <w:r>
              <w:rPr>
                <w:rFonts w:ascii="Times New Roman" w:hAnsi="Times New Roman"/>
                <w:b/>
                <w:sz w:val="26"/>
                <w:szCs w:val="26"/>
              </w:rPr>
              <w:t xml:space="preserve"> </w:t>
            </w:r>
            <w:r>
              <w:rPr>
                <w:rFonts w:ascii="Times New Roman" w:hAnsi="Times New Roman"/>
                <w:b/>
                <w:sz w:val="26"/>
                <w:szCs w:val="26"/>
              </w:rPr>
              <w:t>quyết</w:t>
            </w:r>
          </w:p>
        </w:tc>
        <w:tc>
          <w:tcPr>
            <w:tcW w:w="3543" w:type="dxa"/>
            <w:tcBorders/>
            <w:shd w:val="clear" w:color="auto" w:fill="auto"/>
            <w:vAlign w:val="center"/>
          </w:tcPr>
          <w:p>
            <w:pPr>
              <w:pStyle w:val="style0"/>
              <w:jc w:val="center"/>
              <w:rPr>
                <w:rFonts w:ascii="Times New Roman" w:hAnsi="Times New Roman"/>
                <w:sz w:val="26"/>
                <w:szCs w:val="26"/>
              </w:rPr>
            </w:pPr>
            <w:r>
              <w:rPr>
                <w:rFonts w:ascii="Times New Roman" w:hAnsi="Times New Roman"/>
                <w:b/>
                <w:sz w:val="26"/>
                <w:szCs w:val="26"/>
              </w:rPr>
              <w:t>Cơ</w:t>
            </w:r>
            <w:r>
              <w:rPr>
                <w:rFonts w:ascii="Times New Roman" w:hAnsi="Times New Roman"/>
                <w:b/>
                <w:sz w:val="26"/>
                <w:szCs w:val="26"/>
              </w:rPr>
              <w:t xml:space="preserve"> </w:t>
            </w:r>
            <w:r>
              <w:rPr>
                <w:rFonts w:ascii="Times New Roman" w:hAnsi="Times New Roman"/>
                <w:b/>
                <w:sz w:val="26"/>
                <w:szCs w:val="26"/>
              </w:rPr>
              <w:t>chế</w:t>
            </w:r>
            <w:r>
              <w:rPr>
                <w:rFonts w:ascii="Times New Roman" w:hAnsi="Times New Roman"/>
                <w:b/>
                <w:sz w:val="26"/>
                <w:szCs w:val="26"/>
              </w:rPr>
              <w:t xml:space="preserve">, </w:t>
            </w:r>
            <w:r>
              <w:rPr>
                <w:rFonts w:ascii="Times New Roman" w:hAnsi="Times New Roman"/>
                <w:b/>
                <w:sz w:val="26"/>
                <w:szCs w:val="26"/>
              </w:rPr>
              <w:t>chính</w:t>
            </w:r>
            <w:r>
              <w:rPr>
                <w:rFonts w:ascii="Times New Roman" w:hAnsi="Times New Roman"/>
                <w:b/>
                <w:sz w:val="26"/>
                <w:szCs w:val="26"/>
              </w:rPr>
              <w:t xml:space="preserve"> </w:t>
            </w:r>
            <w:r>
              <w:rPr>
                <w:rFonts w:ascii="Times New Roman" w:hAnsi="Times New Roman"/>
                <w:b/>
                <w:sz w:val="26"/>
                <w:szCs w:val="26"/>
              </w:rPr>
              <w:t>sách</w:t>
            </w:r>
            <w:r>
              <w:rPr>
                <w:rFonts w:ascii="Times New Roman" w:hAnsi="Times New Roman"/>
                <w:b/>
                <w:sz w:val="26"/>
                <w:szCs w:val="26"/>
              </w:rPr>
              <w:t xml:space="preserve"> </w:t>
            </w:r>
            <w:r>
              <w:rPr>
                <w:rFonts w:ascii="Times New Roman" w:hAnsi="Times New Roman"/>
                <w:b/>
                <w:sz w:val="26"/>
                <w:szCs w:val="26"/>
              </w:rPr>
              <w:t>tương</w:t>
            </w:r>
            <w:r>
              <w:rPr>
                <w:rFonts w:ascii="Times New Roman" w:hAnsi="Times New Roman"/>
                <w:b/>
                <w:sz w:val="26"/>
                <w:szCs w:val="26"/>
              </w:rPr>
              <w:t xml:space="preserve"> </w:t>
            </w:r>
            <w:r>
              <w:rPr>
                <w:rFonts w:ascii="Times New Roman" w:hAnsi="Times New Roman"/>
                <w:b/>
                <w:sz w:val="26"/>
                <w:szCs w:val="26"/>
              </w:rPr>
              <w:t>tự</w:t>
            </w:r>
            <w:r>
              <w:rPr>
                <w:rFonts w:ascii="Times New Roman" w:hAnsi="Times New Roman"/>
                <w:b/>
                <w:sz w:val="26"/>
                <w:szCs w:val="26"/>
              </w:rPr>
              <w:t xml:space="preserve"> </w:t>
            </w:r>
            <w:r>
              <w:rPr>
                <w:rFonts w:ascii="Times New Roman" w:hAnsi="Times New Roman"/>
                <w:b/>
                <w:sz w:val="26"/>
                <w:szCs w:val="26"/>
              </w:rPr>
              <w:t>tại</w:t>
            </w:r>
            <w:r>
              <w:rPr>
                <w:rFonts w:ascii="Times New Roman" w:hAnsi="Times New Roman"/>
                <w:b/>
                <w:sz w:val="26"/>
                <w:szCs w:val="26"/>
              </w:rPr>
              <w:t xml:space="preserve"> </w:t>
            </w:r>
            <w:r>
              <w:rPr>
                <w:rFonts w:ascii="Times New Roman" w:hAnsi="Times New Roman"/>
                <w:b/>
                <w:sz w:val="26"/>
                <w:szCs w:val="26"/>
              </w:rPr>
              <w:t>các</w:t>
            </w:r>
            <w:r>
              <w:rPr>
                <w:rFonts w:ascii="Times New Roman" w:hAnsi="Times New Roman"/>
                <w:b/>
                <w:sz w:val="26"/>
                <w:szCs w:val="26"/>
              </w:rPr>
              <w:t xml:space="preserve"> </w:t>
            </w:r>
            <w:r>
              <w:rPr>
                <w:rFonts w:ascii="Times New Roman" w:hAnsi="Times New Roman"/>
                <w:b/>
                <w:sz w:val="26"/>
                <w:szCs w:val="26"/>
              </w:rPr>
              <w:t>Nghị</w:t>
            </w:r>
            <w:r>
              <w:rPr>
                <w:rFonts w:ascii="Times New Roman" w:hAnsi="Times New Roman"/>
                <w:b/>
                <w:sz w:val="26"/>
                <w:szCs w:val="26"/>
              </w:rPr>
              <w:t xml:space="preserve"> </w:t>
            </w:r>
            <w:r>
              <w:rPr>
                <w:rFonts w:ascii="Times New Roman" w:hAnsi="Times New Roman"/>
                <w:b/>
                <w:sz w:val="26"/>
                <w:szCs w:val="26"/>
              </w:rPr>
              <w:t>quyết</w:t>
            </w:r>
            <w:r>
              <w:rPr>
                <w:rFonts w:ascii="Times New Roman" w:hAnsi="Times New Roman"/>
                <w:b/>
                <w:sz w:val="26"/>
                <w:szCs w:val="26"/>
              </w:rPr>
              <w:t xml:space="preserve"> </w:t>
            </w:r>
            <w:r>
              <w:rPr>
                <w:rFonts w:ascii="Times New Roman" w:hAnsi="Times New Roman"/>
                <w:b/>
                <w:sz w:val="26"/>
                <w:szCs w:val="26"/>
              </w:rPr>
              <w:t>đặc</w:t>
            </w:r>
            <w:r>
              <w:rPr>
                <w:rFonts w:ascii="Times New Roman" w:hAnsi="Times New Roman"/>
                <w:b/>
                <w:sz w:val="26"/>
                <w:szCs w:val="26"/>
              </w:rPr>
              <w:t xml:space="preserve"> </w:t>
            </w:r>
            <w:r>
              <w:rPr>
                <w:rFonts w:ascii="Times New Roman" w:hAnsi="Times New Roman"/>
                <w:b/>
                <w:sz w:val="26"/>
                <w:szCs w:val="26"/>
              </w:rPr>
              <w:t>thù</w:t>
            </w:r>
            <w:r>
              <w:rPr>
                <w:rFonts w:ascii="Times New Roman" w:hAnsi="Times New Roman"/>
                <w:b/>
                <w:sz w:val="26"/>
                <w:szCs w:val="26"/>
              </w:rPr>
              <w:t xml:space="preserve"> </w:t>
            </w:r>
            <w:r>
              <w:rPr>
                <w:rFonts w:ascii="Times New Roman" w:hAnsi="Times New Roman"/>
                <w:b/>
                <w:sz w:val="26"/>
                <w:szCs w:val="26"/>
              </w:rPr>
              <w:t>khác</w:t>
            </w:r>
          </w:p>
        </w:tc>
        <w:tc>
          <w:tcPr>
            <w:tcW w:w="1560" w:type="dxa"/>
            <w:tcBorders/>
            <w:vAlign w:val="center"/>
          </w:tcPr>
          <w:p>
            <w:pPr>
              <w:pStyle w:val="style0"/>
              <w:jc w:val="center"/>
              <w:rPr>
                <w:rFonts w:ascii="Times New Roman" w:hAnsi="Times New Roman"/>
                <w:sz w:val="26"/>
                <w:szCs w:val="26"/>
              </w:rPr>
            </w:pPr>
            <w:r>
              <w:rPr>
                <w:rFonts w:ascii="Times New Roman" w:hAnsi="Times New Roman"/>
                <w:b/>
                <w:sz w:val="26"/>
                <w:szCs w:val="26"/>
              </w:rPr>
              <w:t>Ghi</w:t>
            </w:r>
            <w:r>
              <w:rPr>
                <w:rFonts w:ascii="Times New Roman" w:hAnsi="Times New Roman"/>
                <w:b/>
                <w:sz w:val="26"/>
                <w:szCs w:val="26"/>
              </w:rPr>
              <w:t xml:space="preserve"> </w:t>
            </w:r>
            <w:r>
              <w:rPr>
                <w:rFonts w:ascii="Times New Roman" w:hAnsi="Times New Roman"/>
                <w:b/>
                <w:sz w:val="26"/>
                <w:szCs w:val="26"/>
              </w:rPr>
              <w:t>chú</w:t>
            </w:r>
          </w:p>
        </w:tc>
      </w:tr>
      <w:tr>
        <w:tblPrEx/>
        <w:trPr>
          <w:trHeight w:val="457" w:hRule="atLeast"/>
        </w:trPr>
        <w:tc>
          <w:tcPr>
            <w:tcW w:w="564" w:type="dxa"/>
            <w:tcBorders/>
            <w:shd w:val="clear" w:color="auto" w:fill="ffff00"/>
            <w:vAlign w:val="center"/>
          </w:tcPr>
          <w:p>
            <w:pPr>
              <w:pStyle w:val="style0"/>
              <w:jc w:val="center"/>
              <w:rPr>
                <w:rFonts w:ascii="Times New Roman" w:hAnsi="Times New Roman"/>
                <w:b/>
                <w:sz w:val="26"/>
                <w:szCs w:val="26"/>
              </w:rPr>
            </w:pPr>
            <w:r>
              <w:rPr>
                <w:rFonts w:ascii="Times New Roman" w:hAnsi="Times New Roman"/>
                <w:b/>
                <w:sz w:val="26"/>
                <w:szCs w:val="26"/>
              </w:rPr>
              <w:t>1</w:t>
            </w:r>
          </w:p>
        </w:tc>
        <w:tc>
          <w:tcPr>
            <w:tcW w:w="14901" w:type="dxa"/>
            <w:gridSpan w:val="3"/>
            <w:tcBorders/>
            <w:shd w:val="clear" w:color="auto" w:fill="ffff00"/>
            <w:vAlign w:val="center"/>
          </w:tcPr>
          <w:p>
            <w:pPr>
              <w:pStyle w:val="style0"/>
              <w:rPr>
                <w:rFonts w:ascii="Times New Roman" w:hAnsi="Times New Roman"/>
                <w:b/>
                <w:sz w:val="26"/>
                <w:szCs w:val="26"/>
              </w:rPr>
            </w:pPr>
            <w:r>
              <w:rPr>
                <w:rFonts w:ascii="Times New Roman" w:hAnsi="Times New Roman"/>
                <w:b/>
                <w:sz w:val="26"/>
                <w:szCs w:val="26"/>
              </w:rPr>
              <w:t>Điều</w:t>
            </w:r>
            <w:r>
              <w:rPr>
                <w:rFonts w:ascii="Times New Roman" w:hAnsi="Times New Roman"/>
                <w:b/>
                <w:sz w:val="26"/>
                <w:szCs w:val="26"/>
              </w:rPr>
              <w:t xml:space="preserve"> </w:t>
            </w:r>
            <w:r>
              <w:rPr>
                <w:rFonts w:ascii="Times New Roman" w:hAnsi="Times New Roman"/>
                <w:b/>
                <w:sz w:val="26"/>
                <w:szCs w:val="26"/>
              </w:rPr>
              <w:t>4</w:t>
            </w:r>
            <w:r>
              <w:rPr>
                <w:rFonts w:ascii="Times New Roman" w:hAnsi="Times New Roman"/>
                <w:b/>
                <w:bCs/>
                <w:sz w:val="26"/>
                <w:szCs w:val="26"/>
                <w:lang w:val="nl-NL"/>
              </w:rPr>
              <w:t>. Về quản lý đầu tư</w:t>
            </w:r>
          </w:p>
        </w:tc>
      </w:tr>
      <w:tr>
        <w:tblPrEx/>
        <w:trPr>
          <w:trHeight w:val="561" w:hRule="atLeast"/>
        </w:trPr>
        <w:tc>
          <w:tcPr>
            <w:tcW w:w="564" w:type="dxa"/>
            <w:tcBorders>
              <w:bottom w:val="single" w:sz="4" w:space="0" w:color="auto"/>
            </w:tcBorders>
            <w:shd w:val="clear" w:color="auto" w:fill="auto"/>
          </w:tcPr>
          <w:p>
            <w:pPr>
              <w:pStyle w:val="style0"/>
              <w:jc w:val="center"/>
              <w:rPr>
                <w:rFonts w:ascii="Times New Roman" w:hAnsi="Times New Roman"/>
                <w:b/>
                <w:sz w:val="26"/>
                <w:szCs w:val="26"/>
              </w:rPr>
            </w:pPr>
            <w:r>
              <w:rPr>
                <w:rFonts w:ascii="Times New Roman" w:hAnsi="Times New Roman"/>
                <w:b/>
                <w:sz w:val="26"/>
                <w:szCs w:val="26"/>
              </w:rPr>
              <w:t>1.</w:t>
            </w:r>
            <w:r>
              <w:rPr>
                <w:rFonts w:ascii="Times New Roman" w:hAnsi="Times New Roman"/>
                <w:b/>
                <w:sz w:val="26"/>
                <w:szCs w:val="26"/>
              </w:rPr>
              <w:t>1</w:t>
            </w:r>
          </w:p>
        </w:tc>
        <w:tc>
          <w:tcPr>
            <w:tcW w:w="9798" w:type="dxa"/>
            <w:tcBorders>
              <w:bottom w:val="single" w:sz="4" w:space="0" w:color="auto"/>
            </w:tcBorders>
            <w:shd w:val="clear" w:color="auto" w:fill="auto"/>
          </w:tcPr>
          <w:p>
            <w:pPr>
              <w:pStyle w:val="style0"/>
              <w:spacing w:after="60" w:lineRule="exact" w:line="340"/>
              <w:jc w:val="both"/>
              <w:rPr>
                <w:rFonts w:ascii="Times New Roman" w:hAnsi="Times New Roman"/>
                <w:sz w:val="26"/>
                <w:szCs w:val="26"/>
                <w:lang w:val="vi-VN"/>
              </w:rPr>
            </w:pPr>
            <w:r>
              <w:rPr>
                <w:rFonts w:ascii="Times New Roman" w:hAnsi="Times New Roman"/>
                <w:b/>
                <w:sz w:val="26"/>
                <w:szCs w:val="26"/>
                <w:lang w:val="nl-NL"/>
              </w:rPr>
              <w:t>Khoản 2</w:t>
            </w:r>
            <w:r>
              <w:rPr>
                <w:rFonts w:ascii="Times New Roman" w:hAnsi="Times New Roman"/>
                <w:b/>
                <w:sz w:val="26"/>
                <w:szCs w:val="26"/>
                <w:lang w:val="nl-NL"/>
              </w:rPr>
              <w:t xml:space="preserve"> Điều 4:</w:t>
            </w:r>
            <w:r>
              <w:rPr>
                <w:rFonts w:ascii="Times New Roman" w:hAnsi="Times New Roman"/>
                <w:sz w:val="26"/>
                <w:szCs w:val="26"/>
                <w:lang w:val="nl-NL"/>
              </w:rPr>
              <w:t xml:space="preserve"> </w:t>
            </w:r>
            <w:r>
              <w:rPr>
                <w:rFonts w:ascii="Times New Roman" w:hAnsi="Times New Roman"/>
                <w:sz w:val="26"/>
                <w:szCs w:val="26"/>
                <w:lang w:val="vi-VN"/>
              </w:rPr>
              <w:t>Cho phép Thành phố Hồ Chí Minh tách dự án bồi thường, hỗ trợ, tái định cư, giải phóng mặt bằng ra khỏi dự án đầu tư công:</w:t>
            </w:r>
          </w:p>
          <w:p>
            <w:pPr>
              <w:pStyle w:val="style0"/>
              <w:spacing w:after="60" w:lineRule="exact" w:line="340"/>
              <w:jc w:val="both"/>
              <w:rPr>
                <w:rFonts w:ascii="Times New Roman" w:hAnsi="Times New Roman"/>
                <w:sz w:val="26"/>
                <w:szCs w:val="26"/>
                <w:lang w:val="vi-VN"/>
              </w:rPr>
            </w:pPr>
            <w:r>
              <w:rPr>
                <w:rFonts w:ascii="Times New Roman" w:hAnsi="Times New Roman"/>
                <w:sz w:val="26"/>
                <w:szCs w:val="26"/>
                <w:lang w:val="vi-VN"/>
              </w:rPr>
              <w:t xml:space="preserve">a) Hội đồng nhân dân Thành phố quyết định chủ trương đầu tư dự án tổng thể có quy mô dự án nhóm B thuộc lĩnh vực giao thông, y tế, giáo dục, cấp thoát nước, xử lý rác thải và các công trình hạ tầng kỹ thuật khác như công trình hào và tuy nen kỹ thuật, công trình cấp điện, công trình cấp xăng dầu, khí đốt, công trình chiếu sáng, công trình viễn thông, nhà vệ sinh công cộng, công trình nghĩa trang theo quy định của pháp luật về đầu tư công, có quyền quyết định cho phép tách riêng công tác bồi thường, hỗ trợ, tái định cư, giải phóng mặt bằng thành dự án độc lập khi phê duyệt chủ trương đầu tư dự án tổng thể; quyết định mục tiêu, quy mô, tổng mức đầu tư, cơ cấu nguồn vốn, địa điểm đầu tư của dự án bồi thường, hỗ trợ, tái định cư, giải phóng mặt bằng tại quyết định chủ trương đầu tư dự án tổng thể. </w:t>
            </w:r>
          </w:p>
          <w:p>
            <w:pPr>
              <w:pStyle w:val="style0"/>
              <w:spacing w:after="60" w:lineRule="exact" w:line="340"/>
              <w:jc w:val="both"/>
              <w:rPr>
                <w:rFonts w:ascii="Times New Roman" w:hAnsi="Times New Roman"/>
                <w:sz w:val="26"/>
                <w:szCs w:val="26"/>
                <w:lang w:val="vi-VN"/>
              </w:rPr>
            </w:pPr>
            <w:r>
              <w:rPr>
                <w:rFonts w:ascii="Times New Roman" w:hAnsi="Times New Roman"/>
                <w:sz w:val="26"/>
                <w:szCs w:val="26"/>
                <w:lang w:val="vi-VN"/>
              </w:rPr>
              <w:t>b) Căn cứ chủ trương đầu tư dự án tổng thể, Chủ tịch Ủy ban nhân dân Thành phố quyết định đầu tư, điều chỉnh dự án bồi thường, hỗ trợ, tái định cư, giải phóng mặt bằng trong phạm vi mục tiêu, quy mô, tổng mức đầu tư, cơ cấu nguồn vốn, địa điểm thực hiện dự án tổng thể.</w:t>
            </w:r>
          </w:p>
          <w:p>
            <w:pPr>
              <w:pStyle w:val="style0"/>
              <w:spacing w:after="60" w:lineRule="exact" w:line="340"/>
              <w:jc w:val="both"/>
              <w:rPr>
                <w:rFonts w:ascii="Times New Roman" w:hAnsi="Times New Roman"/>
                <w:sz w:val="26"/>
                <w:szCs w:val="26"/>
                <w:lang w:val="vi-VN"/>
              </w:rPr>
            </w:pPr>
            <w:r>
              <w:rPr>
                <w:rFonts w:ascii="Times New Roman" w:hAnsi="Times New Roman"/>
                <w:sz w:val="26"/>
                <w:szCs w:val="26"/>
                <w:lang w:val="vi-VN"/>
              </w:rPr>
              <w:t xml:space="preserve">Trường hợp điều chỉnh dự án bồi thường, hỗ trợ, tái định cư, giải phóng mặt bằng phát sinh yếu tố phải điều chỉnh chủ trương đầu tư dự án tổng thể, Hội đồng nhân dân Thành phố thực hiện điều chỉnh chủ trương đầu tư dự án tổng thể trước khi Chủ tịch Ủy ban nhân dân Thành phố điều chỉnh dự án bồi thường, hỗ trợ, tái định cư, giải phóng mặt bằng. Việc điều chỉnh chủ trương đầu tư dự án tổng thể và điều chỉnh dự án bồi thường, hỗ trợ, tái định cư, giải </w:t>
            </w:r>
            <w:r>
              <w:rPr>
                <w:rFonts w:ascii="Times New Roman" w:hAnsi="Times New Roman"/>
                <w:sz w:val="26"/>
                <w:szCs w:val="26"/>
                <w:lang w:val="vi-VN"/>
              </w:rPr>
              <w:t>phóng mặt bằng thực hiện theo quy định của pháp luật về đầu tư công và quy định khác của pháp luật có liên quan.</w:t>
            </w:r>
          </w:p>
          <w:p>
            <w:pPr>
              <w:pStyle w:val="style0"/>
              <w:spacing w:after="60" w:lineRule="exact" w:line="340"/>
              <w:jc w:val="both"/>
              <w:rPr>
                <w:rFonts w:ascii="Times New Roman" w:hAnsi="Times New Roman"/>
                <w:sz w:val="26"/>
                <w:szCs w:val="26"/>
                <w:lang w:val="vi-VN"/>
              </w:rPr>
            </w:pPr>
            <w:r>
              <w:rPr>
                <w:rFonts w:ascii="Times New Roman" w:hAnsi="Times New Roman"/>
                <w:sz w:val="26"/>
                <w:szCs w:val="26"/>
                <w:lang w:val="vi-VN"/>
              </w:rPr>
              <w:t>c) Quyết định đầu tư dự án bồi thường, hỗ trợ, tái định cư, giải phóng mặt bằng là căn cứ để cấp có thẩm quyền quyết định bố trí vốn kế hoạch đầu tư công hằng năm để thực hiện, đồng thời là căn cứ để cơ quan nhà nước có thẩm quyền thu hồi đất ban hành thông báo thu hồi đất, quyết định thu hồi đất.</w:t>
            </w:r>
          </w:p>
          <w:p>
            <w:pPr>
              <w:pStyle w:val="style179"/>
              <w:tabs>
                <w:tab w:val="left" w:leader="none" w:pos="0"/>
                <w:tab w:val="left" w:leader="none" w:pos="993"/>
              </w:tabs>
              <w:ind w:left="0"/>
              <w:jc w:val="both"/>
              <w:rPr>
                <w:rFonts w:ascii="Times New Roman" w:hAnsi="Times New Roman"/>
                <w:spacing w:val="-4"/>
                <w:sz w:val="26"/>
                <w:szCs w:val="26"/>
                <w:lang w:val="nl-NL"/>
              </w:rPr>
            </w:pPr>
            <w:r>
              <w:rPr>
                <w:rFonts w:ascii="Times New Roman" w:hAnsi="Times New Roman"/>
                <w:sz w:val="26"/>
                <w:szCs w:val="26"/>
                <w:lang w:val="vi-VN"/>
              </w:rPr>
              <w:t>d) Hội đồng nhân dân Thành phố ban hành danh mục các dự án đầu tư công thực hiện tách dự án bồi thường, hỗ trợ, tái định cư, giải phóng mặt bằng ra khỏi dự án đầu tư công quy định tại Điều này</w:t>
            </w:r>
            <w:r>
              <w:rPr>
                <w:rFonts w:ascii="Times New Roman" w:hAnsi="Times New Roman"/>
                <w:sz w:val="26"/>
                <w:szCs w:val="26"/>
                <w:lang w:val="nl-NL"/>
              </w:rPr>
              <w:t>.</w:t>
            </w:r>
          </w:p>
        </w:tc>
        <w:tc>
          <w:tcPr>
            <w:tcW w:w="3543" w:type="dxa"/>
            <w:tcBorders>
              <w:bottom w:val="single" w:sz="4" w:space="0" w:color="auto"/>
            </w:tcBorders>
            <w:shd w:val="clear" w:color="auto" w:fill="auto"/>
          </w:tcPr>
          <w:p>
            <w:pPr>
              <w:pStyle w:val="style0"/>
              <w:jc w:val="both"/>
              <w:rPr>
                <w:rFonts w:ascii="Times New Roman" w:hAnsi="Times New Roman"/>
                <w:bCs/>
                <w:sz w:val="26"/>
                <w:szCs w:val="26"/>
                <w:shd w:val="clear" w:color="auto" w:fill="ffffff"/>
                <w:lang w:val="nl-NL"/>
              </w:rPr>
            </w:pPr>
            <w:r>
              <w:rPr>
                <w:rFonts w:ascii="Times New Roman" w:hAnsi="Times New Roman"/>
                <w:bCs/>
                <w:sz w:val="26"/>
                <w:szCs w:val="26"/>
                <w:shd w:val="clear" w:color="auto" w:fill="ffffff"/>
                <w:lang w:val="nl-NL"/>
              </w:rPr>
              <w:t>Điều 6 Nghị quyết số 55/2022/QH15 (Khánh Hòa)</w:t>
            </w:r>
          </w:p>
        </w:tc>
        <w:tc>
          <w:tcPr>
            <w:tcW w:w="1560" w:type="dxa"/>
            <w:tcBorders>
              <w:bottom w:val="single" w:sz="4" w:space="0" w:color="auto"/>
            </w:tcBorders>
          </w:tcPr>
          <w:p>
            <w:pPr>
              <w:pStyle w:val="style0"/>
              <w:jc w:val="both"/>
              <w:rPr>
                <w:rFonts w:ascii="Times New Roman" w:hAnsi="Times New Roman"/>
                <w:bCs/>
                <w:sz w:val="26"/>
                <w:szCs w:val="26"/>
                <w:shd w:val="clear" w:color="auto" w:fill="ffffff"/>
                <w:lang w:val="nl-NL"/>
              </w:rPr>
            </w:pPr>
          </w:p>
        </w:tc>
      </w:tr>
      <w:tr>
        <w:tblPrEx/>
        <w:trPr>
          <w:trHeight w:val="561" w:hRule="atLeast"/>
        </w:trPr>
        <w:tc>
          <w:tcPr>
            <w:tcW w:w="564" w:type="dxa"/>
            <w:tcBorders>
              <w:bottom w:val="single" w:sz="4" w:space="0" w:color="auto"/>
            </w:tcBorders>
            <w:shd w:val="clear" w:color="auto" w:fill="auto"/>
          </w:tcPr>
          <w:p>
            <w:pPr>
              <w:pStyle w:val="style0"/>
              <w:jc w:val="center"/>
              <w:rPr>
                <w:rFonts w:ascii="Times New Roman" w:hAnsi="Times New Roman"/>
                <w:b/>
                <w:color w:val="000000"/>
                <w:sz w:val="26"/>
                <w:szCs w:val="26"/>
              </w:rPr>
            </w:pPr>
            <w:r>
              <w:rPr>
                <w:rFonts w:ascii="Times New Roman" w:hAnsi="Times New Roman"/>
                <w:b/>
                <w:color w:val="000000"/>
                <w:sz w:val="26"/>
                <w:szCs w:val="26"/>
              </w:rPr>
              <w:t>1.</w:t>
            </w:r>
            <w:r>
              <w:rPr>
                <w:rFonts w:ascii="Times New Roman" w:hAnsi="Times New Roman"/>
                <w:b/>
                <w:color w:val="000000"/>
                <w:sz w:val="26"/>
                <w:szCs w:val="26"/>
              </w:rPr>
              <w:t>2</w:t>
            </w:r>
          </w:p>
        </w:tc>
        <w:tc>
          <w:tcPr>
            <w:tcW w:w="9798" w:type="dxa"/>
            <w:tcBorders>
              <w:bottom w:val="single" w:sz="4" w:space="0" w:color="auto"/>
            </w:tcBorders>
            <w:shd w:val="clear" w:color="auto" w:fill="auto"/>
          </w:tcPr>
          <w:p>
            <w:pPr>
              <w:pStyle w:val="style0"/>
              <w:tabs>
                <w:tab w:val="left" w:leader="none" w:pos="0"/>
                <w:tab w:val="left" w:leader="none" w:pos="851"/>
              </w:tabs>
              <w:jc w:val="both"/>
              <w:rPr>
                <w:rFonts w:ascii="Times New Roman" w:hAnsi="Times New Roman"/>
                <w:color w:val="000000"/>
                <w:sz w:val="26"/>
                <w:szCs w:val="26"/>
                <w:lang w:val="nl-NL"/>
              </w:rPr>
            </w:pPr>
            <w:r>
              <w:rPr>
                <w:rFonts w:ascii="Times New Roman" w:hAnsi="Times New Roman"/>
                <w:b/>
                <w:color w:val="000000"/>
                <w:sz w:val="26"/>
                <w:szCs w:val="26"/>
              </w:rPr>
              <w:t>Khoản</w:t>
            </w:r>
            <w:r>
              <w:rPr>
                <w:rFonts w:ascii="Times New Roman" w:hAnsi="Times New Roman"/>
                <w:b/>
                <w:color w:val="000000"/>
                <w:sz w:val="26"/>
                <w:szCs w:val="26"/>
              </w:rPr>
              <w:t xml:space="preserve"> </w:t>
            </w:r>
            <w:r>
              <w:rPr>
                <w:rFonts w:ascii="Times New Roman" w:hAnsi="Times New Roman"/>
                <w:b/>
                <w:color w:val="000000"/>
                <w:sz w:val="26"/>
                <w:szCs w:val="26"/>
              </w:rPr>
              <w:t xml:space="preserve">3 </w:t>
            </w:r>
            <w:r>
              <w:rPr>
                <w:rFonts w:ascii="Times New Roman" w:hAnsi="Times New Roman"/>
                <w:b/>
                <w:color w:val="000000"/>
                <w:sz w:val="26"/>
                <w:szCs w:val="26"/>
              </w:rPr>
              <w:t>Điều</w:t>
            </w:r>
            <w:r>
              <w:rPr>
                <w:rFonts w:ascii="Times New Roman" w:hAnsi="Times New Roman"/>
                <w:b/>
                <w:color w:val="000000"/>
                <w:sz w:val="26"/>
                <w:szCs w:val="26"/>
              </w:rPr>
              <w:t xml:space="preserve"> </w:t>
            </w:r>
            <w:r>
              <w:rPr>
                <w:rFonts w:ascii="Times New Roman" w:hAnsi="Times New Roman"/>
                <w:b/>
                <w:color w:val="000000"/>
                <w:sz w:val="26"/>
                <w:szCs w:val="26"/>
              </w:rPr>
              <w:t>4</w:t>
            </w:r>
            <w:r>
              <w:rPr>
                <w:rFonts w:ascii="Times New Roman" w:hAnsi="Times New Roman"/>
                <w:b/>
                <w:color w:val="000000"/>
                <w:sz w:val="26"/>
                <w:szCs w:val="26"/>
              </w:rPr>
              <w:t xml:space="preserve">: </w:t>
            </w:r>
            <w:r>
              <w:rPr>
                <w:rFonts w:ascii="Times New Roman" w:hAnsi="Times New Roman"/>
                <w:sz w:val="26"/>
                <w:szCs w:val="26"/>
                <w:lang w:val="vi-VN"/>
              </w:rPr>
              <w:t>Hội đồng nhân dân Thành phố xem xét, quyết định việc sử dụng nguồn ngân sách địa phương thực hiện đầu tư dự án đầu tư công độc lập để thực hiện công tác bồi thường, hỗ trợ, tái định cư, giải phóng mặt bằng hai bên/dọc theo tuyến Đường sắt đô thị số 1, Đường sắt đô thị số 2, tuyến đường Vành đai 2, Vành đai 3, Vành đai 4 Thành phố Hồ Chí Minh, đường cao tốc Thành phố Hồ Chí Minh - Mộc Bài, rạch Xuyên Tâm và tại Khu vực bán đảo Bình Quới - Thanh Đa để tổ chức lại đô thị, thực hiện dự án tái định cư tại chỗ hoặc tạo quỹ đất để tổ chức đấu giá lựa chọn nhà đầu tư các dự án phát triển đô thị gắn kết với giao thông công cộng (TOD). Việc phân loại nhóm dự án Bồi thường, hỗ trợ, tái định cư, giải phóng mặt bằng theo Luật Đầu tư công được thực hiện căn cứ tổng mức đầu tư dự án Bồi thường, hỗ trợ, tái định cư, giải phóng mặt bằng và lĩnh vực đầu tư dự kiến của dự án đầu tư xây dựng cơ sở hạ tầng hoặc của dự án có sử dụng đất</w:t>
            </w:r>
            <w:r>
              <w:rPr>
                <w:rFonts w:ascii="Times New Roman" w:hAnsi="Times New Roman"/>
                <w:sz w:val="26"/>
                <w:szCs w:val="26"/>
                <w:lang w:val="nl-NL"/>
              </w:rPr>
              <w:t>.</w:t>
            </w:r>
          </w:p>
        </w:tc>
        <w:tc>
          <w:tcPr>
            <w:tcW w:w="3543" w:type="dxa"/>
            <w:tcBorders>
              <w:bottom w:val="single" w:sz="4" w:space="0" w:color="auto"/>
            </w:tcBorders>
            <w:shd w:val="clear" w:color="auto" w:fill="auto"/>
          </w:tcPr>
          <w:p>
            <w:pPr>
              <w:pStyle w:val="style0"/>
              <w:jc w:val="both"/>
              <w:rPr>
                <w:rFonts w:ascii="Times New Roman" w:hAnsi="Times New Roman"/>
                <w:bCs/>
                <w:sz w:val="26"/>
                <w:szCs w:val="26"/>
                <w:shd w:val="clear" w:color="auto" w:fill="ffffff"/>
                <w:lang w:val="nl-NL"/>
              </w:rPr>
            </w:pPr>
            <w:r>
              <w:rPr>
                <w:rFonts w:ascii="Times New Roman" w:hAnsi="Times New Roman"/>
                <w:bCs/>
                <w:sz w:val="26"/>
                <w:szCs w:val="26"/>
                <w:shd w:val="clear" w:color="auto" w:fill="ffffff"/>
                <w:lang w:val="nl-NL"/>
              </w:rPr>
              <w:t>Điều 6 Nghị quyết số 55/2022/QH15 (Khánh Hòa)</w:t>
            </w:r>
          </w:p>
        </w:tc>
        <w:tc>
          <w:tcPr>
            <w:tcW w:w="1560" w:type="dxa"/>
            <w:tcBorders>
              <w:bottom w:val="single" w:sz="4" w:space="0" w:color="auto"/>
            </w:tcBorders>
          </w:tcPr>
          <w:p>
            <w:pPr>
              <w:pStyle w:val="style0"/>
              <w:jc w:val="both"/>
              <w:rPr>
                <w:rFonts w:ascii="Times New Roman" w:hAnsi="Times New Roman"/>
                <w:bCs/>
                <w:sz w:val="26"/>
                <w:szCs w:val="26"/>
                <w:shd w:val="clear" w:color="auto" w:fill="ffffff"/>
                <w:lang w:val="nl-NL"/>
              </w:rPr>
            </w:pPr>
            <w:r>
              <w:rPr>
                <w:rFonts w:ascii="Times New Roman" w:hAnsi="Times New Roman"/>
                <w:bCs/>
                <w:sz w:val="26"/>
                <w:szCs w:val="26"/>
                <w:shd w:val="clear" w:color="auto" w:fill="ffffff"/>
                <w:lang w:val="nl-NL"/>
              </w:rPr>
              <w:t xml:space="preserve"> </w:t>
            </w:r>
          </w:p>
        </w:tc>
      </w:tr>
      <w:tr>
        <w:tblPrEx/>
        <w:trPr>
          <w:trHeight w:val="457" w:hRule="atLeast"/>
        </w:trPr>
        <w:tc>
          <w:tcPr>
            <w:tcW w:w="564" w:type="dxa"/>
            <w:tcBorders/>
            <w:shd w:val="clear" w:color="auto" w:fill="ffff00"/>
            <w:vAlign w:val="center"/>
          </w:tcPr>
          <w:p>
            <w:pPr>
              <w:pStyle w:val="style0"/>
              <w:jc w:val="center"/>
              <w:rPr>
                <w:rFonts w:ascii="Times New Roman" w:hAnsi="Times New Roman"/>
                <w:b/>
                <w:sz w:val="26"/>
                <w:szCs w:val="26"/>
              </w:rPr>
            </w:pPr>
            <w:r>
              <w:rPr>
                <w:rFonts w:ascii="Times New Roman" w:hAnsi="Times New Roman"/>
                <w:b/>
                <w:sz w:val="26"/>
                <w:szCs w:val="26"/>
              </w:rPr>
              <w:t>2</w:t>
            </w:r>
          </w:p>
        </w:tc>
        <w:tc>
          <w:tcPr>
            <w:tcW w:w="14901" w:type="dxa"/>
            <w:gridSpan w:val="3"/>
            <w:tcBorders/>
            <w:shd w:val="clear" w:color="auto" w:fill="ffff00"/>
            <w:vAlign w:val="center"/>
          </w:tcPr>
          <w:p>
            <w:pPr>
              <w:pStyle w:val="style0"/>
              <w:rPr>
                <w:rFonts w:ascii="Times New Roman" w:hAnsi="Times New Roman"/>
                <w:b/>
                <w:sz w:val="26"/>
                <w:szCs w:val="26"/>
              </w:rPr>
            </w:pPr>
            <w:r>
              <w:rPr>
                <w:rFonts w:ascii="Times New Roman" w:hAnsi="Times New Roman"/>
                <w:b/>
                <w:sz w:val="26"/>
                <w:szCs w:val="26"/>
              </w:rPr>
              <w:t>Điều</w:t>
            </w:r>
            <w:r>
              <w:rPr>
                <w:rFonts w:ascii="Times New Roman" w:hAnsi="Times New Roman"/>
                <w:b/>
                <w:sz w:val="26"/>
                <w:szCs w:val="26"/>
              </w:rPr>
              <w:t xml:space="preserve"> </w:t>
            </w:r>
            <w:r>
              <w:rPr>
                <w:rFonts w:ascii="Times New Roman" w:hAnsi="Times New Roman"/>
                <w:b/>
                <w:sz w:val="26"/>
                <w:szCs w:val="26"/>
              </w:rPr>
              <w:t>6</w:t>
            </w:r>
            <w:r>
              <w:rPr>
                <w:rFonts w:ascii="Times New Roman" w:hAnsi="Times New Roman"/>
                <w:b/>
                <w:bCs/>
                <w:sz w:val="26"/>
                <w:szCs w:val="26"/>
                <w:lang w:val="nl-NL"/>
              </w:rPr>
              <w:t>. Về quản lý đô thị và tài nguyên môi trường</w:t>
            </w:r>
          </w:p>
        </w:tc>
      </w:tr>
      <w:tr>
        <w:tblPrEx/>
        <w:trPr>
          <w:trHeight w:val="376" w:hRule="atLeast"/>
        </w:trPr>
        <w:tc>
          <w:tcPr>
            <w:tcW w:w="564" w:type="dxa"/>
            <w:tcBorders/>
            <w:shd w:val="clear" w:color="auto" w:fill="auto"/>
          </w:tcPr>
          <w:p>
            <w:pPr>
              <w:pStyle w:val="style0"/>
              <w:jc w:val="center"/>
              <w:rPr>
                <w:rFonts w:ascii="Times New Roman" w:hAnsi="Times New Roman"/>
                <w:b/>
                <w:sz w:val="26"/>
                <w:szCs w:val="26"/>
              </w:rPr>
            </w:pPr>
            <w:r>
              <w:rPr>
                <w:rFonts w:ascii="Times New Roman" w:hAnsi="Times New Roman"/>
                <w:b/>
                <w:sz w:val="26"/>
                <w:szCs w:val="26"/>
              </w:rPr>
              <w:t>2.1</w:t>
            </w:r>
          </w:p>
        </w:tc>
        <w:tc>
          <w:tcPr>
            <w:tcW w:w="9798" w:type="dxa"/>
            <w:tcBorders/>
            <w:shd w:val="clear" w:color="auto" w:fill="auto"/>
          </w:tcPr>
          <w:p>
            <w:pPr>
              <w:pStyle w:val="style179"/>
              <w:tabs>
                <w:tab w:val="left" w:leader="none" w:pos="993"/>
              </w:tabs>
              <w:ind w:left="0"/>
              <w:jc w:val="both"/>
              <w:rPr>
                <w:rFonts w:ascii="Times New Roman" w:eastAsia="Calibri" w:hAnsi="Times New Roman"/>
                <w:sz w:val="26"/>
                <w:szCs w:val="26"/>
                <w:lang w:val="vi-VN"/>
              </w:rPr>
            </w:pPr>
            <w:r>
              <w:rPr>
                <w:rFonts w:ascii="Times New Roman" w:hAnsi="Times New Roman"/>
                <w:b/>
                <w:sz w:val="26"/>
                <w:szCs w:val="26"/>
                <w:lang w:val="nl-NL"/>
              </w:rPr>
              <w:t xml:space="preserve">Khoản 2 Điều </w:t>
            </w:r>
            <w:r>
              <w:rPr>
                <w:rFonts w:ascii="Times New Roman" w:hAnsi="Times New Roman"/>
                <w:b/>
                <w:sz w:val="26"/>
                <w:szCs w:val="26"/>
                <w:lang w:val="nl-NL"/>
              </w:rPr>
              <w:t>6</w:t>
            </w:r>
            <w:r>
              <w:rPr>
                <w:rFonts w:ascii="Times New Roman" w:hAnsi="Times New Roman"/>
                <w:b/>
                <w:sz w:val="26"/>
                <w:szCs w:val="26"/>
                <w:lang w:val="nl-NL"/>
              </w:rPr>
              <w:t>:</w:t>
            </w:r>
            <w:r>
              <w:rPr>
                <w:rFonts w:ascii="Times New Roman" w:hAnsi="Times New Roman"/>
                <w:b/>
                <w:sz w:val="26"/>
                <w:szCs w:val="26"/>
                <w:lang w:val="nl-NL"/>
              </w:rPr>
              <w:t xml:space="preserve"> </w:t>
            </w:r>
            <w:r>
              <w:rPr>
                <w:rFonts w:ascii="Times New Roman" w:eastAsia="Calibri" w:hAnsi="Times New Roman"/>
                <w:sz w:val="26"/>
                <w:szCs w:val="26"/>
                <w:lang w:val="vi-VN"/>
              </w:rPr>
              <w:t>Về quy hoạch xây dựng, quy hoạch đô thị</w:t>
            </w:r>
          </w:p>
          <w:p>
            <w:pPr>
              <w:pStyle w:val="style0"/>
              <w:spacing w:after="60" w:lineRule="exact" w:line="340"/>
              <w:jc w:val="both"/>
              <w:rPr>
                <w:rFonts w:ascii="Times New Roman" w:eastAsia="Calibri" w:hAnsi="Times New Roman"/>
                <w:sz w:val="26"/>
                <w:szCs w:val="26"/>
                <w:lang w:val="vi-VN"/>
              </w:rPr>
            </w:pPr>
            <w:r>
              <w:rPr>
                <w:rFonts w:ascii="Times New Roman" w:eastAsia="Calibri" w:hAnsi="Times New Roman"/>
                <w:sz w:val="26"/>
                <w:szCs w:val="26"/>
                <w:lang w:val="vi-VN"/>
              </w:rPr>
              <w:t>a) Trên cơ sở đồ án quy hoạch xây dựng khu chức năng, quy hoạch đô thị đã được Thủ tướng Chính phủ phê duyệt, Thủ tướng Chính phủ quyết định việc phân cấp cho Ủy ban nhân dân Thành phố thực hiện phê duyệt điều chỉnh cục bộ quy hoạch chung xây dựng khu chức năng, điều chỉnh cục bộ quy hoạch chung đô thị, điều chỉnh cục bộ quy hoạch chuyên ngành hạ tầng kỹ thuật theo thủ tục, trình tự do Thủ tướng Chính phủ quy định và báo cáo Thủ tướng Chính phủ kết quả thực hiện.</w:t>
            </w:r>
          </w:p>
          <w:p>
            <w:pPr>
              <w:pStyle w:val="style0"/>
              <w:spacing w:after="60" w:lineRule="exact" w:line="340"/>
              <w:jc w:val="both"/>
              <w:rPr>
                <w:rFonts w:ascii="Times New Roman" w:eastAsia="Calibri" w:hAnsi="Times New Roman"/>
                <w:sz w:val="26"/>
                <w:szCs w:val="26"/>
              </w:rPr>
            </w:pPr>
            <w:r>
              <w:rPr>
                <w:rFonts w:ascii="Times New Roman" w:eastAsia="Calibri" w:hAnsi="Times New Roman"/>
                <w:sz w:val="26"/>
                <w:szCs w:val="26"/>
                <w:lang w:val="vi-VN"/>
              </w:rPr>
              <w:t>b) Việc điều chỉnh quy hoạch xây dựng, quy hoạch đô thị để phục vụ lợi ích cộng đồng theo quy định của pháp luật về xây dựng, quy hoạch đô thị được thực hiện khi thuộc một trong các trường hợp sau: tăng chỉ tiêu đất hạ tầng xã hội, hạ tầng kỹ thuật; giảm mật độ xây dựng, tăng chỉ tiêu diện tích sàn ở bình quân đầu người, cải thiện cảnh quan đô thị hoặc trường hợp khác nhằm nâng cao chất lượng, điều kiện sống, sinh hoạt, làm việc của người dân trong khu vực</w:t>
            </w:r>
            <w:r>
              <w:rPr>
                <w:rFonts w:ascii="Times New Roman" w:eastAsia="Calibri" w:hAnsi="Times New Roman"/>
                <w:sz w:val="26"/>
                <w:szCs w:val="26"/>
              </w:rPr>
              <w:t>.</w:t>
            </w:r>
          </w:p>
          <w:p>
            <w:pPr>
              <w:pStyle w:val="style0"/>
              <w:tabs>
                <w:tab w:val="left" w:leader="none" w:pos="851"/>
              </w:tabs>
              <w:jc w:val="both"/>
              <w:rPr>
                <w:rFonts w:ascii="Times New Roman" w:hAnsi="Times New Roman"/>
                <w:sz w:val="26"/>
                <w:szCs w:val="26"/>
                <w:lang w:val="nl-NL"/>
              </w:rPr>
            </w:pPr>
          </w:p>
        </w:tc>
        <w:tc>
          <w:tcPr>
            <w:tcW w:w="3543" w:type="dxa"/>
            <w:tcBorders/>
            <w:shd w:val="clear" w:color="auto" w:fill="auto"/>
          </w:tcPr>
          <w:p>
            <w:pPr>
              <w:pStyle w:val="style0"/>
              <w:jc w:val="both"/>
              <w:rPr>
                <w:rFonts w:ascii="Times New Roman" w:hAnsi="Times New Roman"/>
                <w:bCs/>
                <w:sz w:val="26"/>
                <w:szCs w:val="26"/>
                <w:shd w:val="clear" w:color="auto" w:fill="ffffff"/>
                <w:lang w:val="nl-NL"/>
              </w:rPr>
            </w:pPr>
            <w:r>
              <w:rPr>
                <w:rFonts w:ascii="Times New Roman" w:hAnsi="Times New Roman"/>
                <w:bCs/>
                <w:sz w:val="26"/>
                <w:szCs w:val="26"/>
                <w:shd w:val="clear" w:color="auto" w:fill="ffffff"/>
                <w:lang w:val="nl-NL"/>
              </w:rPr>
              <w:t>Điều 4 Nghị quyết số 55/2022/QH15 (Khánh Hòa); Điều 5 Nghị quyết số 35/2021/QH15 (Hải Phòng); Điều 5 Nghị quyết số 45/2022/QH15 (Cần Thơ); Điều 5 Nghị quyết số 36/2021/QH15 (Nghệ An); Điều 5 Nghị quyết số 37/2021/QH15 (Thanh Hóa); Điều 5 Nghị quyết số 72/2022/QH15 (Đắk Lắk)</w:t>
            </w:r>
          </w:p>
        </w:tc>
        <w:tc>
          <w:tcPr>
            <w:tcW w:w="1560" w:type="dxa"/>
            <w:tcBorders/>
          </w:tcPr>
          <w:p>
            <w:pPr>
              <w:pStyle w:val="style0"/>
              <w:rPr>
                <w:rFonts w:ascii="Times New Roman" w:hAnsi="Times New Roman"/>
                <w:sz w:val="26"/>
                <w:szCs w:val="26"/>
                <w:lang w:val="nl-NL"/>
              </w:rPr>
            </w:pPr>
          </w:p>
        </w:tc>
      </w:tr>
      <w:tr>
        <w:tblPrEx/>
        <w:trPr>
          <w:trHeight w:val="376" w:hRule="atLeast"/>
        </w:trPr>
        <w:tc>
          <w:tcPr>
            <w:tcW w:w="564" w:type="dxa"/>
            <w:tcBorders/>
            <w:shd w:val="clear" w:color="auto" w:fill="auto"/>
          </w:tcPr>
          <w:p>
            <w:pPr>
              <w:pStyle w:val="style0"/>
              <w:jc w:val="center"/>
              <w:rPr>
                <w:rFonts w:ascii="Times New Roman" w:hAnsi="Times New Roman"/>
                <w:b/>
                <w:sz w:val="26"/>
                <w:szCs w:val="26"/>
                <w:lang w:val="vi-VN"/>
              </w:rPr>
            </w:pPr>
            <w:r>
              <w:rPr>
                <w:rFonts w:ascii="Times New Roman" w:hAnsi="Times New Roman"/>
                <w:b/>
                <w:sz w:val="26"/>
                <w:szCs w:val="26"/>
                <w:lang w:val="vi-VN"/>
              </w:rPr>
              <w:t>2.</w:t>
            </w:r>
            <w:r>
              <w:rPr>
                <w:rFonts w:ascii="Times New Roman" w:hAnsi="Times New Roman"/>
                <w:b/>
                <w:sz w:val="26"/>
                <w:szCs w:val="26"/>
                <w:lang w:val="vi-VN"/>
              </w:rPr>
              <w:t>2</w:t>
            </w:r>
          </w:p>
        </w:tc>
        <w:tc>
          <w:tcPr>
            <w:tcW w:w="9798" w:type="dxa"/>
            <w:tcBorders/>
            <w:shd w:val="clear" w:color="auto" w:fill="auto"/>
          </w:tcPr>
          <w:p>
            <w:pPr>
              <w:pStyle w:val="style0"/>
              <w:spacing w:after="60" w:lineRule="exact" w:line="340"/>
              <w:jc w:val="both"/>
              <w:rPr>
                <w:rFonts w:ascii="Times New Roman" w:eastAsia="Calibri" w:hAnsi="Times New Roman"/>
                <w:sz w:val="26"/>
                <w:szCs w:val="26"/>
                <w:lang w:val="vi-VN"/>
              </w:rPr>
            </w:pPr>
            <w:r>
              <w:rPr>
                <w:rFonts w:ascii="Times New Roman" w:hAnsi="Times New Roman"/>
                <w:b/>
                <w:sz w:val="26"/>
                <w:szCs w:val="26"/>
                <w:lang w:val="nl-NL"/>
              </w:rPr>
              <w:t xml:space="preserve">Khoản </w:t>
            </w:r>
            <w:r>
              <w:rPr>
                <w:rFonts w:ascii="Times New Roman" w:hAnsi="Times New Roman"/>
                <w:b/>
                <w:sz w:val="26"/>
                <w:szCs w:val="26"/>
                <w:lang w:val="nl-NL"/>
              </w:rPr>
              <w:t xml:space="preserve">17 </w:t>
            </w:r>
            <w:r>
              <w:rPr>
                <w:rFonts w:ascii="Times New Roman" w:hAnsi="Times New Roman"/>
                <w:b/>
                <w:sz w:val="26"/>
                <w:szCs w:val="26"/>
                <w:lang w:val="nl-NL"/>
              </w:rPr>
              <w:t xml:space="preserve">Điều 6: </w:t>
            </w:r>
            <w:r>
              <w:rPr>
                <w:rFonts w:ascii="Times New Roman" w:eastAsia="Calibri" w:hAnsi="Times New Roman"/>
                <w:sz w:val="26"/>
                <w:szCs w:val="26"/>
                <w:lang w:val="vi-VN"/>
              </w:rPr>
              <w:t>Việc thực hiện chuẩn bị thu hồi đất của một số dự án tại Thành phố được thực hiện như sau:</w:t>
            </w:r>
          </w:p>
          <w:p>
            <w:pPr>
              <w:pStyle w:val="style0"/>
              <w:spacing w:after="60" w:lineRule="exact" w:line="340"/>
              <w:jc w:val="both"/>
              <w:rPr>
                <w:rFonts w:ascii="Times New Roman" w:eastAsia="Calibri" w:hAnsi="Times New Roman"/>
                <w:sz w:val="26"/>
                <w:szCs w:val="26"/>
                <w:lang w:val="vi-VN"/>
              </w:rPr>
            </w:pPr>
            <w:r>
              <w:rPr>
                <w:rFonts w:ascii="Times New Roman" w:eastAsia="Calibri" w:hAnsi="Times New Roman"/>
                <w:sz w:val="26"/>
                <w:szCs w:val="26"/>
                <w:lang w:val="vi-VN"/>
              </w:rPr>
              <w:t xml:space="preserve">a) Đối với các dự án xây dựng khu công nghiệp, khu công nghệ cao, kết cấu hạ tầng kỹ thuật cấp quốc gia, địa phương, giao thông, khu văn hóa thể thao vui chơi giải trí cộng đồng thuộc trường hợp Nhà nước thu hồi đất theo quy định của pháp luật về đất đai và có quy mô từ 300 ha trở lên hoặc thực hiện bồi thường, hỗ trợ, tái định cư trên 1.000 hộ dân, căn cứ quy hoạch, kế hoạch sử dụng đất Thành phố, Hội đồng nhân dân Thành phố ban hành danh mục các dự </w:t>
            </w:r>
            <w:r>
              <w:rPr>
                <w:rFonts w:ascii="Times New Roman" w:eastAsia="Calibri" w:hAnsi="Times New Roman"/>
                <w:sz w:val="26"/>
                <w:szCs w:val="26"/>
                <w:lang w:val="vi-VN"/>
              </w:rPr>
              <w:t xml:space="preserve">án tổ chức thực hiện điều tra, khảo sát, đo đạc, kiểm đếm, xác minh nguồn gốc đất, tài sản gắn liền với đất theo trình tự, thủ tục quy định tại khoản này; </w:t>
            </w:r>
          </w:p>
          <w:p>
            <w:pPr>
              <w:pStyle w:val="style0"/>
              <w:spacing w:after="60" w:lineRule="exact" w:line="340"/>
              <w:jc w:val="both"/>
              <w:rPr>
                <w:rFonts w:ascii="Times New Roman" w:eastAsia="Calibri" w:hAnsi="Times New Roman"/>
                <w:sz w:val="26"/>
                <w:szCs w:val="26"/>
                <w:lang w:val="vi-VN"/>
              </w:rPr>
            </w:pPr>
            <w:r>
              <w:rPr>
                <w:rFonts w:ascii="Times New Roman" w:eastAsia="Calibri" w:hAnsi="Times New Roman"/>
                <w:sz w:val="26"/>
                <w:szCs w:val="26"/>
                <w:lang w:val="vi-VN"/>
              </w:rPr>
              <w:t>b) Căn cứ danh mục dự án quy định tại điểm a khoản này, cơ quan nhà nước có thẩm quyền thu hồi đất theo quy định của Luật Đất đai, ban hành thông báo tổ chức thực hiện điều tra, khảo sát, đo đạc, kiểm đếm, xác minh nguồn gốc đất, tài sản gắn liền với đất.</w:t>
            </w:r>
          </w:p>
          <w:p>
            <w:pPr>
              <w:pStyle w:val="style0"/>
              <w:spacing w:after="60" w:lineRule="exact" w:line="340"/>
              <w:jc w:val="both"/>
              <w:rPr>
                <w:rFonts w:ascii="Times New Roman" w:eastAsia="Calibri" w:hAnsi="Times New Roman"/>
                <w:sz w:val="26"/>
                <w:szCs w:val="26"/>
                <w:lang w:val="vi-VN"/>
              </w:rPr>
            </w:pPr>
            <w:r>
              <w:rPr>
                <w:rFonts w:ascii="Times New Roman" w:eastAsia="Calibri" w:hAnsi="Times New Roman"/>
                <w:sz w:val="26"/>
                <w:szCs w:val="26"/>
                <w:lang w:val="vi-VN"/>
              </w:rPr>
              <w:t>Thông báo tổ chức thực hiện điều tra, khảo sát, đo đạc, kiểm đếm, xác minh nguồn gốc đất, tài sản gắn liền với đất được gửi đến từng người sử dụng đất và thông báo trên phương tiện thông tin đại chúng, niêm yết tại trụ sở Ủy ban nhân dân cấp xã, địa điểm sinh hoạt chung của khu dân cư;</w:t>
            </w:r>
          </w:p>
          <w:p>
            <w:pPr>
              <w:pStyle w:val="style0"/>
              <w:spacing w:after="60" w:lineRule="exact" w:line="340"/>
              <w:jc w:val="both"/>
              <w:rPr>
                <w:rFonts w:ascii="Times New Roman" w:eastAsia="Calibri" w:hAnsi="Times New Roman"/>
                <w:sz w:val="26"/>
                <w:szCs w:val="26"/>
                <w:lang w:val="vi-VN"/>
              </w:rPr>
            </w:pPr>
            <w:r>
              <w:rPr>
                <w:rFonts w:ascii="Times New Roman" w:eastAsia="Calibri" w:hAnsi="Times New Roman"/>
                <w:sz w:val="26"/>
                <w:szCs w:val="26"/>
                <w:lang w:val="vi-VN"/>
              </w:rPr>
              <w:t>c) Trên cơ sở thông báo tại điểm b khoản này, tổ chức làm nhiệm vụ bồi thường, giải phóng mặt bằng theo quy định của pháp luật về đất đai được phép triển khai việc điều tra, khảo sát, đo đạc, kiểm đếm, xác minh nguồn gốc đất, tài sản gắn liền với đất trước khi cơ quan nhà nước có thẩm quyền ban hành thông báo thu hồi đất.</w:t>
            </w:r>
          </w:p>
          <w:p>
            <w:pPr>
              <w:pStyle w:val="style0"/>
              <w:spacing w:after="60" w:lineRule="exact" w:line="340"/>
              <w:jc w:val="both"/>
              <w:rPr>
                <w:rFonts w:ascii="Times New Roman" w:eastAsia="Calibri" w:hAnsi="Times New Roman"/>
                <w:sz w:val="26"/>
                <w:szCs w:val="26"/>
                <w:lang w:val="vi-VN"/>
              </w:rPr>
            </w:pPr>
            <w:r>
              <w:rPr>
                <w:rFonts w:ascii="Times New Roman" w:eastAsia="Calibri" w:hAnsi="Times New Roman"/>
                <w:sz w:val="26"/>
                <w:szCs w:val="26"/>
                <w:lang w:val="vi-VN"/>
              </w:rPr>
              <w:t>Ủy ban nhân dân cấp xã có trách nhiệm phối hợp với tổ chức làm nhiệm vụ bồi thường, giải phóng mặt bằng triển khai thực hiện điều tra, khảo sát, đo đạc, kiểm đếm, xác minh nguồn gốc đất, tài sản gắn liền với đất.</w:t>
            </w:r>
          </w:p>
          <w:p>
            <w:pPr>
              <w:pStyle w:val="style0"/>
              <w:spacing w:after="60" w:lineRule="exact" w:line="340"/>
              <w:jc w:val="both"/>
              <w:rPr>
                <w:rFonts w:ascii="Times New Roman" w:eastAsia="Calibri" w:hAnsi="Times New Roman"/>
                <w:sz w:val="26"/>
                <w:szCs w:val="26"/>
                <w:lang w:val="vi-VN"/>
              </w:rPr>
            </w:pPr>
            <w:r>
              <w:rPr>
                <w:rFonts w:ascii="Times New Roman" w:eastAsia="Calibri" w:hAnsi="Times New Roman"/>
                <w:sz w:val="26"/>
                <w:szCs w:val="26"/>
                <w:lang w:val="vi-VN"/>
              </w:rPr>
              <w:t>Người sử dụng đất có trách nhiệm phối hợp với tổ chức làm nhiệm vụ bồi thường, giải phóng mặt bằng thực hiện việc điều tra, khảo sát, đo đạc xác định diện tích đất, thống kê nhà ở, tài sản khác gắn liền với đất để lập phương án bồi thường, hỗ trợ, tái định cư;</w:t>
            </w:r>
          </w:p>
          <w:p>
            <w:pPr>
              <w:pStyle w:val="style0"/>
              <w:spacing w:after="60" w:lineRule="exact" w:line="340"/>
              <w:jc w:val="both"/>
              <w:rPr>
                <w:rFonts w:ascii="Times New Roman" w:eastAsia="Calibri" w:hAnsi="Times New Roman"/>
                <w:sz w:val="26"/>
                <w:szCs w:val="26"/>
                <w:lang w:val="vi-VN"/>
              </w:rPr>
            </w:pPr>
            <w:r>
              <w:rPr>
                <w:rFonts w:ascii="Times New Roman" w:eastAsia="Calibri" w:hAnsi="Times New Roman"/>
                <w:sz w:val="26"/>
                <w:szCs w:val="26"/>
                <w:lang w:val="vi-VN"/>
              </w:rPr>
              <w:t xml:space="preserve">d) Sau khi lựa chọn được nhà đầu tư thực hiện dự án theo quy định của pháp luật hiện hành, cơ quan nhà nước có thẩm quyền thu hồi đất theo quy định của Luật Đất đai ban hành thông </w:t>
            </w:r>
            <w:r>
              <w:rPr>
                <w:rFonts w:ascii="Times New Roman" w:eastAsia="Calibri" w:hAnsi="Times New Roman"/>
                <w:sz w:val="26"/>
                <w:szCs w:val="26"/>
                <w:lang w:val="vi-VN"/>
              </w:rPr>
              <w:t>báo thu hồi đất và sử dụng kết quả điều tra, khảo sát, đo đạc, kiểm đếm, xác minh nguồn gốc đất, tài sản gắn liền với đất được thực hiện theo quy định tại điểm c khoản này để lập phương án bồi thường, hỗ trợ, tái định cư.</w:t>
            </w:r>
          </w:p>
          <w:p>
            <w:pPr>
              <w:pStyle w:val="style0"/>
              <w:spacing w:after="60" w:lineRule="exact" w:line="340"/>
              <w:jc w:val="both"/>
              <w:rPr>
                <w:rFonts w:ascii="Times New Roman" w:eastAsia="Calibri" w:hAnsi="Times New Roman"/>
                <w:sz w:val="26"/>
                <w:szCs w:val="26"/>
                <w:lang w:val="vi-VN"/>
              </w:rPr>
            </w:pPr>
            <w:r>
              <w:rPr>
                <w:rFonts w:ascii="Times New Roman" w:eastAsia="Calibri" w:hAnsi="Times New Roman"/>
                <w:sz w:val="26"/>
                <w:szCs w:val="26"/>
                <w:lang w:val="vi-VN"/>
              </w:rPr>
              <w:t>Việc lập, thẩm định, phê duyệt và tổ chức thực hiện phương án bồi thường, hỗ trợ, tái định cư và quyết định thu hồi đất thực hiện theo quy định của pháp luật về đất đai;</w:t>
            </w:r>
          </w:p>
          <w:p>
            <w:pPr>
              <w:pStyle w:val="style0"/>
              <w:jc w:val="both"/>
              <w:rPr>
                <w:rFonts w:ascii="Times New Roman" w:hAnsi="Times New Roman"/>
                <w:b/>
                <w:sz w:val="26"/>
                <w:szCs w:val="26"/>
                <w:lang w:val="nl-NL"/>
              </w:rPr>
            </w:pPr>
            <w:r>
              <w:rPr>
                <w:rFonts w:ascii="Times New Roman" w:eastAsia="Calibri" w:hAnsi="Times New Roman"/>
                <w:sz w:val="26"/>
                <w:szCs w:val="26"/>
                <w:lang w:val="vi-VN"/>
              </w:rPr>
              <w:t>đ) Hội đồng nhân dân Tỉnh quyết định sử dụng ngân sách địa phương thực hiện các nội dung quy định tại điểm c khoản này và ban hành trình tự, thủ tục thực hiện quy định tại khoản này</w:t>
            </w:r>
            <w:r>
              <w:rPr>
                <w:rFonts w:ascii="Times New Roman" w:eastAsia="Calibri" w:hAnsi="Times New Roman"/>
                <w:sz w:val="26"/>
                <w:szCs w:val="26"/>
              </w:rPr>
              <w:t>.</w:t>
            </w:r>
          </w:p>
        </w:tc>
        <w:tc>
          <w:tcPr>
            <w:tcW w:w="3543" w:type="dxa"/>
            <w:tcBorders/>
            <w:shd w:val="clear" w:color="auto" w:fill="auto"/>
          </w:tcPr>
          <w:p>
            <w:pPr>
              <w:pStyle w:val="style0"/>
              <w:shd w:val="clear" w:color="auto" w:fill="ffffff"/>
              <w:jc w:val="both"/>
              <w:rPr>
                <w:rFonts w:ascii="Times New Roman" w:hAnsi="Times New Roman"/>
                <w:sz w:val="26"/>
                <w:szCs w:val="26"/>
                <w:lang w:val="nl-NL"/>
              </w:rPr>
            </w:pPr>
            <w:r>
              <w:rPr>
                <w:rFonts w:ascii="Times New Roman" w:hAnsi="Times New Roman"/>
                <w:sz w:val="26"/>
                <w:szCs w:val="26"/>
                <w:lang w:val="nl-NL"/>
              </w:rPr>
              <w:t>Khoản 2 Điều 5 Nghị quyết số 55/2022/QH15 về cơ chế đặc thù cho tỉnh Khánh Hòa.</w:t>
            </w:r>
          </w:p>
        </w:tc>
        <w:tc>
          <w:tcPr>
            <w:tcW w:w="1560" w:type="dxa"/>
            <w:tcBorders/>
          </w:tcPr>
          <w:p>
            <w:pPr>
              <w:pStyle w:val="style0"/>
              <w:jc w:val="both"/>
              <w:rPr>
                <w:rFonts w:ascii="Times New Roman" w:hAnsi="Times New Roman"/>
                <w:sz w:val="26"/>
                <w:szCs w:val="26"/>
                <w:lang w:val="nl-NL"/>
              </w:rPr>
            </w:pPr>
          </w:p>
        </w:tc>
      </w:tr>
      <w:tr>
        <w:tblPrEx/>
        <w:trPr>
          <w:trHeight w:val="457" w:hRule="atLeast"/>
        </w:trPr>
        <w:tc>
          <w:tcPr>
            <w:tcW w:w="564" w:type="dxa"/>
            <w:tcBorders/>
            <w:shd w:val="clear" w:color="auto" w:fill="ffff00"/>
            <w:vAlign w:val="center"/>
          </w:tcPr>
          <w:p>
            <w:pPr>
              <w:pStyle w:val="style0"/>
              <w:jc w:val="center"/>
              <w:rPr>
                <w:rFonts w:ascii="Times New Roman" w:hAnsi="Times New Roman"/>
                <w:b/>
                <w:sz w:val="26"/>
                <w:szCs w:val="26"/>
              </w:rPr>
            </w:pPr>
            <w:r>
              <w:rPr>
                <w:rFonts w:ascii="Times New Roman" w:hAnsi="Times New Roman"/>
                <w:b/>
                <w:sz w:val="26"/>
                <w:szCs w:val="26"/>
              </w:rPr>
              <w:t>3</w:t>
            </w:r>
          </w:p>
        </w:tc>
        <w:tc>
          <w:tcPr>
            <w:tcW w:w="14901" w:type="dxa"/>
            <w:gridSpan w:val="3"/>
            <w:tcBorders/>
            <w:shd w:val="clear" w:color="auto" w:fill="ffff00"/>
            <w:vAlign w:val="center"/>
          </w:tcPr>
          <w:p>
            <w:pPr>
              <w:pStyle w:val="style0"/>
              <w:rPr>
                <w:rFonts w:ascii="Times New Roman" w:hAnsi="Times New Roman"/>
                <w:b/>
                <w:sz w:val="26"/>
                <w:szCs w:val="26"/>
              </w:rPr>
            </w:pPr>
            <w:r>
              <w:rPr>
                <w:rFonts w:ascii="Times New Roman" w:hAnsi="Times New Roman"/>
                <w:b/>
                <w:sz w:val="26"/>
                <w:szCs w:val="26"/>
              </w:rPr>
              <w:t>Điều</w:t>
            </w:r>
            <w:r>
              <w:rPr>
                <w:rFonts w:ascii="Times New Roman" w:hAnsi="Times New Roman"/>
                <w:b/>
                <w:sz w:val="26"/>
                <w:szCs w:val="26"/>
              </w:rPr>
              <w:t xml:space="preserve"> </w:t>
            </w:r>
            <w:r>
              <w:rPr>
                <w:rFonts w:ascii="Times New Roman" w:hAnsi="Times New Roman"/>
                <w:b/>
                <w:sz w:val="26"/>
                <w:szCs w:val="26"/>
              </w:rPr>
              <w:t>8</w:t>
            </w:r>
            <w:r>
              <w:rPr>
                <w:rFonts w:ascii="Times New Roman" w:hAnsi="Times New Roman"/>
                <w:b/>
                <w:sz w:val="26"/>
                <w:szCs w:val="26"/>
              </w:rPr>
              <w:t xml:space="preserve">. </w:t>
            </w:r>
            <w:r>
              <w:rPr>
                <w:rFonts w:ascii="Times New Roman" w:hAnsi="Times New Roman"/>
                <w:b/>
                <w:sz w:val="26"/>
                <w:szCs w:val="26"/>
              </w:rPr>
              <w:t>Về</w:t>
            </w:r>
            <w:r>
              <w:rPr>
                <w:rFonts w:ascii="Times New Roman" w:hAnsi="Times New Roman"/>
                <w:b/>
                <w:sz w:val="26"/>
                <w:szCs w:val="26"/>
              </w:rPr>
              <w:t xml:space="preserve"> </w:t>
            </w:r>
            <w:r>
              <w:rPr>
                <w:rFonts w:ascii="Times New Roman" w:hAnsi="Times New Roman"/>
                <w:b/>
                <w:sz w:val="26"/>
                <w:szCs w:val="26"/>
              </w:rPr>
              <w:t>quản</w:t>
            </w:r>
            <w:r>
              <w:rPr>
                <w:rFonts w:ascii="Times New Roman" w:hAnsi="Times New Roman"/>
                <w:b/>
                <w:sz w:val="26"/>
                <w:szCs w:val="26"/>
              </w:rPr>
              <w:t xml:space="preserve"> </w:t>
            </w:r>
            <w:r>
              <w:rPr>
                <w:rFonts w:ascii="Times New Roman" w:hAnsi="Times New Roman"/>
                <w:b/>
                <w:sz w:val="26"/>
                <w:szCs w:val="26"/>
              </w:rPr>
              <w:t>lý</w:t>
            </w:r>
            <w:r>
              <w:rPr>
                <w:rFonts w:ascii="Times New Roman" w:hAnsi="Times New Roman"/>
                <w:b/>
                <w:sz w:val="26"/>
                <w:szCs w:val="26"/>
              </w:rPr>
              <w:t xml:space="preserve"> khoa </w:t>
            </w:r>
            <w:r>
              <w:rPr>
                <w:rFonts w:ascii="Times New Roman" w:hAnsi="Times New Roman"/>
                <w:b/>
                <w:sz w:val="26"/>
                <w:szCs w:val="26"/>
              </w:rPr>
              <w:t>học</w:t>
            </w:r>
            <w:r>
              <w:rPr>
                <w:rFonts w:ascii="Times New Roman" w:hAnsi="Times New Roman"/>
                <w:b/>
                <w:sz w:val="26"/>
                <w:szCs w:val="26"/>
              </w:rPr>
              <w:t xml:space="preserve"> và </w:t>
            </w:r>
            <w:r>
              <w:rPr>
                <w:rFonts w:ascii="Times New Roman" w:hAnsi="Times New Roman"/>
                <w:b/>
                <w:sz w:val="26"/>
                <w:szCs w:val="26"/>
              </w:rPr>
              <w:t>công</w:t>
            </w:r>
            <w:r>
              <w:rPr>
                <w:rFonts w:ascii="Times New Roman" w:hAnsi="Times New Roman"/>
                <w:b/>
                <w:sz w:val="26"/>
                <w:szCs w:val="26"/>
              </w:rPr>
              <w:t xml:space="preserve"> </w:t>
            </w:r>
            <w:r>
              <w:rPr>
                <w:rFonts w:ascii="Times New Roman" w:hAnsi="Times New Roman"/>
                <w:b/>
                <w:sz w:val="26"/>
                <w:szCs w:val="26"/>
              </w:rPr>
              <w:t>nghệ</w:t>
            </w:r>
            <w:r>
              <w:rPr>
                <w:rFonts w:ascii="Times New Roman" w:hAnsi="Times New Roman"/>
                <w:b/>
                <w:sz w:val="26"/>
                <w:szCs w:val="26"/>
              </w:rPr>
              <w:t xml:space="preserve">, </w:t>
            </w:r>
            <w:r>
              <w:rPr>
                <w:rFonts w:ascii="Times New Roman" w:hAnsi="Times New Roman"/>
                <w:b/>
                <w:sz w:val="26"/>
                <w:szCs w:val="26"/>
              </w:rPr>
              <w:t>đổi</w:t>
            </w:r>
            <w:r>
              <w:rPr>
                <w:rFonts w:ascii="Times New Roman" w:hAnsi="Times New Roman"/>
                <w:b/>
                <w:sz w:val="26"/>
                <w:szCs w:val="26"/>
              </w:rPr>
              <w:t xml:space="preserve"> </w:t>
            </w:r>
            <w:r>
              <w:rPr>
                <w:rFonts w:ascii="Times New Roman" w:hAnsi="Times New Roman"/>
                <w:b/>
                <w:sz w:val="26"/>
                <w:szCs w:val="26"/>
              </w:rPr>
              <w:t>mới</w:t>
            </w:r>
            <w:r>
              <w:rPr>
                <w:rFonts w:ascii="Times New Roman" w:hAnsi="Times New Roman"/>
                <w:b/>
                <w:sz w:val="26"/>
                <w:szCs w:val="26"/>
              </w:rPr>
              <w:t xml:space="preserve"> </w:t>
            </w:r>
            <w:r>
              <w:rPr>
                <w:rFonts w:ascii="Times New Roman" w:hAnsi="Times New Roman"/>
                <w:b/>
                <w:sz w:val="26"/>
                <w:szCs w:val="26"/>
              </w:rPr>
              <w:t>sáng</w:t>
            </w:r>
            <w:r>
              <w:rPr>
                <w:rFonts w:ascii="Times New Roman" w:hAnsi="Times New Roman"/>
                <w:b/>
                <w:sz w:val="26"/>
                <w:szCs w:val="26"/>
              </w:rPr>
              <w:t xml:space="preserve"> </w:t>
            </w:r>
            <w:r>
              <w:rPr>
                <w:rFonts w:ascii="Times New Roman" w:hAnsi="Times New Roman"/>
                <w:b/>
                <w:sz w:val="26"/>
                <w:szCs w:val="26"/>
              </w:rPr>
              <w:t>tạo</w:t>
            </w:r>
          </w:p>
        </w:tc>
      </w:tr>
      <w:tr>
        <w:tblPrEx/>
        <w:trPr>
          <w:trHeight w:val="376" w:hRule="atLeast"/>
        </w:trPr>
        <w:tc>
          <w:tcPr>
            <w:tcW w:w="564" w:type="dxa"/>
            <w:tcBorders/>
            <w:shd w:val="clear" w:color="auto" w:fill="auto"/>
          </w:tcPr>
          <w:p>
            <w:pPr>
              <w:pStyle w:val="style0"/>
              <w:jc w:val="center"/>
              <w:rPr>
                <w:rFonts w:ascii="Times New Roman" w:hAnsi="Times New Roman"/>
                <w:b/>
                <w:sz w:val="26"/>
                <w:szCs w:val="26"/>
              </w:rPr>
            </w:pPr>
            <w:r>
              <w:rPr>
                <w:rFonts w:ascii="Times New Roman" w:hAnsi="Times New Roman"/>
                <w:b/>
                <w:sz w:val="26"/>
                <w:szCs w:val="26"/>
              </w:rPr>
              <w:t>3.1</w:t>
            </w:r>
          </w:p>
        </w:tc>
        <w:tc>
          <w:tcPr>
            <w:tcW w:w="9798" w:type="dxa"/>
            <w:tcBorders/>
            <w:shd w:val="clear" w:color="auto" w:fill="auto"/>
          </w:tcPr>
          <w:p>
            <w:pPr>
              <w:pStyle w:val="style0"/>
              <w:spacing w:after="60" w:lineRule="exact" w:line="340"/>
              <w:jc w:val="both"/>
              <w:rPr>
                <w:rFonts w:ascii="Times New Roman" w:hAnsi="Times New Roman"/>
                <w:bCs/>
                <w:iCs/>
                <w:sz w:val="26"/>
                <w:szCs w:val="26"/>
                <w:lang w:val="vi-VN"/>
              </w:rPr>
            </w:pPr>
            <w:r>
              <w:rPr>
                <w:rFonts w:ascii="Times New Roman" w:hAnsi="Times New Roman"/>
                <w:bCs/>
                <w:iCs/>
                <w:sz w:val="26"/>
                <w:szCs w:val="26"/>
                <w:lang w:val="en-US"/>
              </w:rPr>
              <w:t xml:space="preserve">Khoản </w:t>
            </w:r>
            <w:r>
              <w:rPr>
                <w:rFonts w:ascii="Times New Roman" w:hAnsi="Times New Roman"/>
                <w:bCs/>
                <w:iCs/>
                <w:sz w:val="26"/>
                <w:szCs w:val="26"/>
                <w:lang w:val="vi-VN"/>
              </w:rPr>
              <w:t>2</w:t>
            </w:r>
            <w:r>
              <w:rPr>
                <w:rFonts w:ascii="Times New Roman" w:hAnsi="Times New Roman"/>
                <w:bCs/>
                <w:iCs/>
                <w:sz w:val="26"/>
                <w:szCs w:val="26"/>
                <w:lang w:val="en-US"/>
              </w:rPr>
              <w:t xml:space="preserve"> Điều 8</w:t>
            </w:r>
            <w:r>
              <w:rPr>
                <w:rFonts w:ascii="Times New Roman" w:hAnsi="Times New Roman"/>
                <w:bCs/>
                <w:iCs/>
                <w:sz w:val="26"/>
                <w:szCs w:val="26"/>
                <w:lang w:val="vi-VN"/>
              </w:rPr>
              <w:t>. Hội đồng nhân dân Thành phố Hồ Chí Minh quy định:</w:t>
            </w:r>
          </w:p>
          <w:p>
            <w:pPr>
              <w:pStyle w:val="style0"/>
              <w:spacing w:after="60" w:lineRule="exact" w:line="340"/>
              <w:jc w:val="both"/>
              <w:rPr>
                <w:rFonts w:ascii="Times New Roman" w:hAnsi="Times New Roman"/>
                <w:bCs/>
                <w:iCs/>
                <w:sz w:val="26"/>
                <w:szCs w:val="26"/>
                <w:lang w:val="vi-VN"/>
              </w:rPr>
            </w:pPr>
            <w:r>
              <w:rPr>
                <w:rFonts w:ascii="Times New Roman" w:hAnsi="Times New Roman"/>
                <w:bCs/>
                <w:iCs/>
                <w:sz w:val="26"/>
                <w:szCs w:val="26"/>
                <w:lang w:val="vi-VN"/>
              </w:rPr>
              <w:t xml:space="preserve">a) Tiền lương, tiền công, chế độ phúc lợi và các chính sách ưu đãi khác đối với các chức danh lãnh đạo trong tổ chức khoa học và công nghệ công lập theo thỏa thuận được xác định trên cơ sở trình độ, năng lực và hiệu quả đóng góp của cá nhân với mức lương của các vị trí tương đương trong các tổ chức nước ngoài hoặc doanh nghiệp 100% vốn nước ngoài trên địa bàn thành phố; </w:t>
            </w:r>
          </w:p>
          <w:p>
            <w:pPr>
              <w:pStyle w:val="style0"/>
              <w:spacing w:after="60" w:lineRule="exact" w:line="340"/>
              <w:jc w:val="both"/>
              <w:rPr>
                <w:rFonts w:ascii="Times New Roman" w:hAnsi="Times New Roman"/>
                <w:bCs/>
                <w:iCs/>
                <w:sz w:val="26"/>
                <w:szCs w:val="26"/>
                <w:lang w:val="vi-VN"/>
              </w:rPr>
            </w:pPr>
            <w:r>
              <w:rPr>
                <w:rFonts w:ascii="Times New Roman" w:hAnsi="Times New Roman"/>
                <w:bCs/>
                <w:iCs/>
                <w:sz w:val="26"/>
                <w:szCs w:val="26"/>
                <w:lang w:val="vi-VN"/>
              </w:rPr>
              <w:t>b) Thù lao trong thực hiện nhiệm vụ khoa học và công nghệ;</w:t>
            </w:r>
          </w:p>
          <w:p>
            <w:pPr>
              <w:pStyle w:val="style0"/>
              <w:tabs>
                <w:tab w:val="left" w:leader="none" w:pos="851"/>
              </w:tabs>
              <w:jc w:val="both"/>
              <w:rPr>
                <w:rFonts w:ascii="Times New Roman" w:hAnsi="Times New Roman"/>
                <w:sz w:val="26"/>
                <w:szCs w:val="26"/>
                <w:lang w:val="nl-NL"/>
              </w:rPr>
            </w:pPr>
            <w:r>
              <w:rPr>
                <w:rFonts w:ascii="Times New Roman" w:hAnsi="Times New Roman"/>
                <w:bCs/>
                <w:iCs/>
                <w:sz w:val="26"/>
                <w:szCs w:val="26"/>
                <w:lang w:val="vi-VN"/>
              </w:rPr>
              <w:t>Hội đồng nhân dân Thành phố quy định tiêu chí, đối tượng, điều kiện được hưởng ưu đãi tại khoản này</w:t>
            </w:r>
            <w:r>
              <w:rPr>
                <w:rFonts w:ascii="Times New Roman" w:hAnsi="Times New Roman"/>
                <w:bCs/>
                <w:iCs/>
                <w:sz w:val="26"/>
                <w:szCs w:val="26"/>
                <w:lang w:val="nl-NL"/>
              </w:rPr>
              <w:t>.</w:t>
            </w:r>
            <w:r>
              <w:rPr>
                <w:rFonts w:ascii="Times New Roman" w:hAnsi="Times New Roman"/>
                <w:bCs/>
                <w:iCs/>
                <w:sz w:val="26"/>
                <w:szCs w:val="26"/>
                <w:lang w:val="nl-NL"/>
              </w:rPr>
              <w:t xml:space="preserve"> </w:t>
            </w:r>
          </w:p>
        </w:tc>
        <w:tc>
          <w:tcPr>
            <w:tcW w:w="3543" w:type="dxa"/>
            <w:tcBorders/>
            <w:shd w:val="clear" w:color="auto" w:fill="auto"/>
          </w:tcPr>
          <w:p>
            <w:pPr>
              <w:pStyle w:val="style0"/>
              <w:jc w:val="both"/>
              <w:rPr>
                <w:rFonts w:ascii="Times New Roman" w:hAnsi="Times New Roman"/>
                <w:bCs/>
                <w:sz w:val="26"/>
                <w:szCs w:val="26"/>
                <w:shd w:val="clear" w:color="auto" w:fill="ffffff"/>
                <w:lang w:val="nl-NL"/>
              </w:rPr>
            </w:pPr>
            <w:r>
              <w:rPr>
                <w:rFonts w:ascii="Times New Roman" w:hAnsi="Times New Roman"/>
                <w:bCs/>
                <w:sz w:val="26"/>
                <w:szCs w:val="26"/>
                <w:shd w:val="clear" w:color="auto" w:fill="ffffff"/>
                <w:lang w:val="nl-NL"/>
              </w:rPr>
              <w:t>Điều 6 Nghị quyết số 72/2022/QH15 (Đắk Lắk)</w:t>
            </w:r>
            <w:r>
              <w:rPr>
                <w:rFonts w:ascii="Times New Roman" w:hAnsi="Times New Roman"/>
                <w:bCs/>
                <w:sz w:val="26"/>
                <w:szCs w:val="26"/>
                <w:shd w:val="clear" w:color="auto" w:fill="ffffff"/>
                <w:lang w:val="nl-NL"/>
              </w:rPr>
              <w:t>:</w:t>
            </w:r>
          </w:p>
        </w:tc>
        <w:tc>
          <w:tcPr>
            <w:tcW w:w="1560" w:type="dxa"/>
            <w:tcBorders/>
          </w:tcPr>
          <w:p>
            <w:pPr>
              <w:pStyle w:val="style0"/>
              <w:jc w:val="both"/>
              <w:rPr>
                <w:rFonts w:ascii="Times New Roman" w:hAnsi="Times New Roman"/>
                <w:bCs/>
                <w:sz w:val="26"/>
                <w:szCs w:val="26"/>
                <w:shd w:val="clear" w:color="auto" w:fill="ffffff"/>
                <w:lang w:val="nl-NL"/>
              </w:rPr>
            </w:pPr>
          </w:p>
        </w:tc>
      </w:tr>
    </w:tbl>
    <w:p>
      <w:pPr>
        <w:pStyle w:val="style0"/>
        <w:jc w:val="both"/>
        <w:rPr>
          <w:rFonts w:ascii="Times New Roman" w:hAnsi="Times New Roman"/>
          <w:b/>
          <w:sz w:val="26"/>
          <w:szCs w:val="26"/>
          <w:u w:val="single"/>
          <w:lang w:val="nl-NL"/>
        </w:rPr>
      </w:pPr>
    </w:p>
    <w:sectPr>
      <w:headerReference w:type="default" r:id="rId2"/>
      <w:footerReference w:type="even" r:id="rId3"/>
      <w:footerReference w:type="default" r:id="rId4"/>
      <w:pgSz w:w="16840" w:h="11907" w:orient="landscape" w:code="9"/>
      <w:pgMar w:top="510" w:right="794" w:bottom="425" w:left="79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Arial">
    <w:altName w:val="Arial"/>
    <w:panose1 w:val="020b0604020002020204"/>
    <w:charset w:val="00"/>
    <w:family w:val="swiss"/>
    <w:pitch w:val="variable"/>
    <w:sig w:usb0="E0002EFF" w:usb1="C000785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VNI-Centur">
    <w:altName w:val="Calibri"/>
    <w:panose1 w:val="00000000000000000000"/>
    <w:charset w:val="00"/>
    <w:family w:val="auto"/>
    <w:pitch w:val="variable"/>
    <w:sig w:usb0="00000003" w:usb1="00000000" w:usb2="00000000" w:usb3="00000000" w:csb0="00000001" w:csb1="00000000"/>
  </w:font>
  <w:font w:name="Calibri">
    <w:altName w:val="Calibri"/>
    <w:panose1 w:val="020f0502020002030204"/>
    <w:charset w:val="00"/>
    <w:family w:val="swiss"/>
    <w:pitch w:val="variable"/>
    <w:sig w:usb0="E4002EFF" w:usb1="C200247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right" w:y="1"/>
      <w:rPr>
        <w:rStyle w:val="style41"/>
      </w:rPr>
    </w:pPr>
    <w:r>
      <w:rPr>
        <w:rStyle w:val="style41"/>
      </w:rPr>
      <w:fldChar w:fldCharType="begin"/>
    </w:r>
    <w:r>
      <w:rPr>
        <w:rStyle w:val="style41"/>
      </w:rPr>
      <w:instrText xml:space="preserve">PAGE  </w:instrText>
    </w:r>
    <w:r>
      <w:rPr>
        <w:rStyle w:val="style41"/>
      </w:rPr>
      <w:fldChar w:fldCharType="end"/>
    </w:r>
  </w:p>
  <w:p>
    <w:pPr>
      <w:pStyle w:val="style32"/>
      <w:ind w:right="360"/>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right="36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F3A18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000001"/>
    <w:multiLevelType w:val="hybridMultilevel"/>
    <w:tmpl w:val="17A69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57B41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0000003"/>
    <w:multiLevelType w:val="hybridMultilevel"/>
    <w:tmpl w:val="57B41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0000004"/>
    <w:multiLevelType w:val="hybridMultilevel"/>
    <w:tmpl w:val="8F3A1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57B41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0000006"/>
    <w:multiLevelType w:val="hybridMultilevel"/>
    <w:tmpl w:val="57B41A64"/>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00000007"/>
    <w:multiLevelType w:val="hybridMultilevel"/>
    <w:tmpl w:val="BC6E7CF8"/>
    <w:lvl w:ilvl="0" w:tplc="AEB26CD6">
      <w:start w:val="1"/>
      <w:numFmt w:val="bullet"/>
      <w:lvlText w:val="-"/>
      <w:lvlJc w:val="left"/>
      <w:pPr>
        <w:ind w:left="785" w:hanging="360"/>
      </w:pPr>
      <w:rPr>
        <w:rFonts w:ascii="Times New Roman" w:cs="Times New Roman" w:eastAsia="Times New Roman" w:hAnsi="Times New Roman"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57B41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0000009"/>
    <w:multiLevelType w:val="hybridMultilevel"/>
    <w:tmpl w:val="0854F3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6DDE57BC"/>
    <w:lvl w:ilvl="0" w:tplc="F10045F6">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5D4EFB42"/>
    <w:lvl w:ilvl="0" w:tplc="2C8425B0">
      <w:start w:val="5"/>
      <w:numFmt w:val="bullet"/>
      <w:lvlText w:val="-"/>
      <w:lvlJc w:val="left"/>
      <w:pPr>
        <w:ind w:left="360" w:hanging="360"/>
      </w:pPr>
      <w:rPr>
        <w:rFonts w:ascii="Times New Roman" w:cs="Times New Roman" w:eastAsia="Times New Roman"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
  </w:num>
  <w:num w:numId="4">
    <w:abstractNumId w:val="5"/>
  </w:num>
  <w:num w:numId="5">
    <w:abstractNumId w:val="6"/>
  </w:num>
  <w:num w:numId="6">
    <w:abstractNumId w:val="3"/>
  </w:num>
  <w:num w:numId="7">
    <w:abstractNumId w:val="1"/>
  </w:num>
  <w:num w:numId="8">
    <w:abstractNumId w:val="7"/>
  </w:num>
  <w:num w:numId="9">
    <w:abstractNumId w:val="4"/>
  </w:num>
  <w:num w:numId="10">
    <w:abstractNumId w:val="9"/>
  </w:num>
  <w:num w:numId="11">
    <w:abstractNumId w:val="10"/>
  </w:num>
  <w:num w:numId="1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vi-VN" w:bidi="ar-SA" w:eastAsia="vi-VN"/>
      </w:rPr>
    </w:rPrDefault>
    <w:pPrDefault>
      <w:pPr>
        <w:spacing w:before="120" w:after="120"/>
      </w:pPr>
    </w:pPrDefault>
  </w:docDefaults>
  <w:style w:type="paragraph" w:default="1" w:styleId="style0">
    <w:name w:val="Normal"/>
    <w:next w:val="style0"/>
    <w:qFormat/>
    <w:pPr/>
    <w:rPr>
      <w:rFonts w:ascii="Arial" w:hAnsi="Arial"/>
      <w:lang w:val="en-US" w:eastAsia="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Char Char Char Char Char Char Char"/>
    <w:next w:val="style4097"/>
    <w:pPr>
      <w:tabs>
        <w:tab w:val="left" w:leader="none" w:pos="1152"/>
      </w:tabs>
      <w:spacing w:lineRule="auto" w:line="312"/>
    </w:pPr>
    <w:rPr>
      <w:rFonts w:ascii="Arial" w:cs="Arial" w:hAnsi="Arial"/>
      <w:sz w:val="26"/>
      <w:szCs w:val="26"/>
      <w:lang w:val="en-US" w:eastAsia="en-US"/>
    </w:rPr>
  </w:style>
  <w:style w:type="paragraph" w:styleId="style32">
    <w:name w:val="footer"/>
    <w:basedOn w:val="style0"/>
    <w:next w:val="style32"/>
    <w:pPr>
      <w:tabs>
        <w:tab w:val="center" w:leader="none" w:pos="4320"/>
        <w:tab w:val="right" w:leader="none" w:pos="8640"/>
      </w:tabs>
    </w:pPr>
    <w:rPr/>
  </w:style>
  <w:style w:type="character" w:styleId="style41">
    <w:name w:val="page number"/>
    <w:basedOn w:val="style65"/>
    <w:next w:val="style41"/>
  </w:style>
  <w:style w:type="paragraph" w:styleId="style31">
    <w:name w:val="header"/>
    <w:basedOn w:val="style0"/>
    <w:next w:val="style31"/>
    <w:link w:val="style4099"/>
    <w:uiPriority w:val="99"/>
    <w:pPr>
      <w:tabs>
        <w:tab w:val="center" w:leader="none" w:pos="4320"/>
        <w:tab w:val="right" w:leader="none" w:pos="8640"/>
      </w:tabs>
    </w:pPr>
    <w:rPr/>
  </w:style>
  <w:style w:type="paragraph" w:styleId="style153">
    <w:name w:val="Balloon Text"/>
    <w:basedOn w:val="style0"/>
    <w:next w:val="style153"/>
    <w:link w:val="style4098"/>
    <w:pPr/>
    <w:rPr>
      <w:rFonts w:ascii="Tahoma" w:cs="Tahoma" w:hAnsi="Tahoma"/>
      <w:sz w:val="16"/>
      <w:szCs w:val="16"/>
    </w:rPr>
  </w:style>
  <w:style w:type="character" w:customStyle="1" w:styleId="style4098">
    <w:name w:val="Balloon Text Char"/>
    <w:next w:val="style4098"/>
    <w:link w:val="style153"/>
    <w:rPr>
      <w:rFonts w:ascii="Tahoma" w:cs="Tahoma" w:hAnsi="Tahoma"/>
      <w:sz w:val="16"/>
      <w:szCs w:val="16"/>
    </w:rPr>
  </w:style>
  <w:style w:type="paragraph" w:styleId="style179">
    <w:name w:val="List Paragraph"/>
    <w:basedOn w:val="style0"/>
    <w:next w:val="style179"/>
    <w:link w:val="style4105"/>
    <w:qFormat/>
    <w:pPr>
      <w:ind w:left="720"/>
    </w:pPr>
    <w:rPr/>
  </w:style>
  <w:style w:type="paragraph" w:styleId="style94">
    <w:name w:val="Normal (Web)"/>
    <w:basedOn w:val="style0"/>
    <w:next w:val="style94"/>
    <w:uiPriority w:val="99"/>
    <w:pPr>
      <w:spacing w:before="100" w:beforeAutospacing="true" w:after="100" w:afterAutospacing="true"/>
    </w:pPr>
    <w:rPr>
      <w:rFonts w:ascii="Times New Roman" w:hAnsi="Times New Roman"/>
      <w:sz w:val="24"/>
      <w:szCs w:val="24"/>
    </w:rPr>
  </w:style>
  <w:style w:type="character" w:customStyle="1" w:styleId="style4099">
    <w:name w:val="Header Char_b5967c83-2a48-403e-8915-5964af26d6f6"/>
    <w:next w:val="style4099"/>
    <w:link w:val="style31"/>
    <w:uiPriority w:val="99"/>
    <w:rPr>
      <w:rFonts w:ascii="Arial" w:hAnsi="Arial"/>
    </w:rPr>
  </w:style>
  <w:style w:type="character" w:styleId="style85">
    <w:name w:val="Hyperlink"/>
    <w:next w:val="style85"/>
    <w:uiPriority w:val="99"/>
    <w:rPr>
      <w:color w:val="0000ff"/>
      <w:u w:val="single"/>
    </w:rPr>
  </w:style>
  <w:style w:type="paragraph" w:customStyle="1" w:styleId="style4100">
    <w:name w:val="Char4"/>
    <w:basedOn w:val="style0"/>
    <w:next w:val="style4100"/>
    <w:pPr>
      <w:spacing w:after="160" w:lineRule="exact" w:line="240"/>
    </w:pPr>
    <w:rPr>
      <w:rFonts w:cs="Arial"/>
      <w:sz w:val="22"/>
      <w:szCs w:val="22"/>
    </w:rPr>
  </w:style>
  <w:style w:type="character" w:customStyle="1" w:styleId="style4101">
    <w:name w:val="Văn bản nội dung_"/>
    <w:next w:val="style4101"/>
    <w:link w:val="style4102"/>
    <w:rPr>
      <w:sz w:val="26"/>
      <w:szCs w:val="26"/>
    </w:rPr>
  </w:style>
  <w:style w:type="paragraph" w:customStyle="1" w:styleId="style4102">
    <w:name w:val="Văn bản nội dung"/>
    <w:basedOn w:val="style0"/>
    <w:next w:val="style4102"/>
    <w:link w:val="style4101"/>
    <w:pPr>
      <w:widowControl w:val="false"/>
      <w:spacing w:after="200" w:lineRule="auto" w:line="261"/>
      <w:ind w:firstLine="400"/>
    </w:pPr>
    <w:rPr>
      <w:rFonts w:ascii="Times New Roman" w:hAnsi="Times New Roman"/>
      <w:sz w:val="26"/>
      <w:szCs w:val="26"/>
    </w:rPr>
  </w:style>
  <w:style w:type="paragraph" w:styleId="style67">
    <w:name w:val="Body Text Indent"/>
    <w:basedOn w:val="style0"/>
    <w:next w:val="style67"/>
    <w:link w:val="style4103"/>
    <w:pPr>
      <w:ind w:left="283"/>
    </w:pPr>
    <w:rPr>
      <w:rFonts w:ascii="Times New Roman" w:hAnsi="Times New Roman"/>
      <w:sz w:val="28"/>
      <w:szCs w:val="28"/>
    </w:rPr>
  </w:style>
  <w:style w:type="character" w:customStyle="1" w:styleId="style4103">
    <w:name w:val="Body Text Indent Char"/>
    <w:next w:val="style4103"/>
    <w:link w:val="style67"/>
    <w:rPr>
      <w:sz w:val="28"/>
      <w:szCs w:val="28"/>
    </w:rPr>
  </w:style>
  <w:style w:type="character" w:styleId="style38">
    <w:name w:val="footnote reference"/>
    <w:next w:val="style38"/>
    <w:rPr>
      <w:vertAlign w:val="superscript"/>
    </w:rPr>
  </w:style>
  <w:style w:type="paragraph" w:styleId="style29">
    <w:name w:val="footnote text"/>
    <w:basedOn w:val="style0"/>
    <w:next w:val="style29"/>
    <w:link w:val="style4104"/>
    <w:pPr/>
    <w:rPr>
      <w:rFonts w:ascii="Times New Roman" w:hAnsi="Times New Roman"/>
    </w:rPr>
  </w:style>
  <w:style w:type="character" w:customStyle="1" w:styleId="style4104">
    <w:name w:val="Footnote Text Char"/>
    <w:basedOn w:val="style65"/>
    <w:next w:val="style4104"/>
    <w:link w:val="style29"/>
  </w:style>
  <w:style w:type="table" w:styleId="style154">
    <w:name w:val="Table Grid"/>
    <w:basedOn w:val="style105"/>
    <w:next w:val="style154"/>
    <w:pPr/>
    <w:rPr>
      <w:rFonts w:ascii="VNI-Centur" w:cs="VNI-Centur" w:hAnsi="VNI-Centu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105">
    <w:name w:val="List Paragraph Char"/>
    <w:next w:val="style4105"/>
    <w:link w:val="style179"/>
    <w:qFormat/>
    <w:rPr>
      <w:rFonts w:ascii="Arial" w:hAnsi="Arial"/>
    </w:rPr>
  </w:style>
  <w:style w:type="paragraph" w:styleId="style80">
    <w:name w:val="Body Text 2"/>
    <w:basedOn w:val="style0"/>
    <w:next w:val="style80"/>
    <w:link w:val="style4106"/>
    <w:uiPriority w:val="99"/>
    <w:pPr>
      <w:spacing w:lineRule="auto" w:line="480"/>
    </w:pPr>
    <w:rPr>
      <w:rFonts w:ascii="Calibri" w:eastAsia="SimSun" w:hAnsi="Calibri"/>
      <w:sz w:val="22"/>
      <w:szCs w:val="22"/>
      <w:lang w:eastAsia="zh-CN"/>
    </w:rPr>
  </w:style>
  <w:style w:type="character" w:customStyle="1" w:styleId="style4106">
    <w:name w:val="Body Text 2 Char"/>
    <w:next w:val="style4106"/>
    <w:link w:val="style80"/>
    <w:uiPriority w:val="99"/>
    <w:rPr>
      <w:rFonts w:ascii="Calibri" w:eastAsia="SimSun" w:hAnsi="Calibri"/>
      <w:sz w:val="22"/>
      <w:szCs w:val="22"/>
      <w:lang w:eastAsia="zh-CN"/>
    </w:rPr>
  </w:style>
  <w:style w:type="paragraph" w:styleId="style66">
    <w:name w:val="Body Text"/>
    <w:basedOn w:val="style0"/>
    <w:next w:val="style66"/>
    <w:link w:val="style4107"/>
    <w:pPr/>
  </w:style>
  <w:style w:type="character" w:customStyle="1" w:styleId="style4107">
    <w:name w:val="Body Text Char"/>
    <w:next w:val="style4107"/>
    <w:link w:val="style66"/>
    <w:rPr>
      <w:rFonts w:ascii="Arial" w:hAnsi="Arial"/>
    </w:rPr>
  </w:style>
  <w:style w:type="paragraph" w:styleId="style30">
    <w:name w:val="annotation text"/>
    <w:basedOn w:val="style0"/>
    <w:next w:val="style30"/>
    <w:link w:val="style4108"/>
    <w:uiPriority w:val="99"/>
    <w:pPr>
      <w:spacing w:before="0" w:after="160"/>
    </w:pPr>
    <w:rPr>
      <w:rFonts w:ascii="Calibri" w:cs="宋体" w:eastAsia="Calibri" w:hAnsi="Calibri"/>
    </w:rPr>
  </w:style>
  <w:style w:type="character" w:customStyle="1" w:styleId="style4108">
    <w:name w:val="Comment Text Char"/>
    <w:basedOn w:val="style65"/>
    <w:next w:val="style4108"/>
    <w:link w:val="style30"/>
    <w:uiPriority w:val="99"/>
    <w:rPr>
      <w:rFonts w:ascii="Calibri" w:cs="宋体" w:eastAsia="Calibri" w:hAnsi="Calibri"/>
      <w:lang w:val="en-US" w:eastAsia="en-US"/>
    </w:rPr>
  </w:style>
  <w:style w:type="character" w:styleId="style39">
    <w:name w:val="annotation reference"/>
    <w:basedOn w:val="style65"/>
    <w:next w:val="style39"/>
    <w:uiPriority w:val="99"/>
    <w:rPr>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7C7D6-9D2D-4EDF-90FE-EF4CFAA4B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1879</Words>
  <Pages>7</Pages>
  <Characters>6634</Characters>
  <Application>WPS Office</Application>
  <DocSecurity>0</DocSecurity>
  <Paragraphs>72</Paragraphs>
  <ScaleCrop>false</ScaleCrop>
  <Company>VN</Company>
  <LinksUpToDate>false</LinksUpToDate>
  <CharactersWithSpaces>8471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2023-02-21T13:20:05Z</dcterms:created>
  <dc:creator>Admin</dc:creator>
  <lastModifiedBy>SM-G990E</lastModifiedBy>
  <lastPrinted>2023-01-18T07:44:00Z</lastPrinted>
  <dcterms:modified xsi:type="dcterms:W3CDTF">2023-02-21T13:20:05Z</dcterms:modified>
  <revision>2</revision>
  <dc:title>ỦY BAN NHÂN DÂN THÀNH PHỐ HỒ CHÍ MINH</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e52f49e9c3d641848bf715a1dc458388</vt:lpwstr>
  </property>
</Properties>
</file>