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4C" w:rsidRDefault="00EA0B08">
      <w:pPr>
        <w:jc w:val="center"/>
        <w:rPr>
          <w:rFonts w:ascii="Times New Roman" w:hAnsi="Times New Roman"/>
          <w:b/>
          <w:sz w:val="24"/>
          <w:szCs w:val="24"/>
        </w:rPr>
      </w:pPr>
      <w:r>
        <w:rPr>
          <w:rFonts w:ascii="Times New Roman" w:hAnsi="Times New Roman"/>
          <w:b/>
          <w:sz w:val="24"/>
          <w:szCs w:val="24"/>
        </w:rPr>
        <w:t>Phụ lục 1</w:t>
      </w:r>
    </w:p>
    <w:p w:rsidR="0092194C" w:rsidRDefault="00EA0B08">
      <w:pPr>
        <w:pStyle w:val="Header"/>
        <w:jc w:val="center"/>
        <w:rPr>
          <w:rFonts w:ascii="Times New Roman" w:hAnsi="Times New Roman"/>
          <w:sz w:val="24"/>
          <w:szCs w:val="24"/>
        </w:rPr>
      </w:pPr>
      <w:r>
        <w:rPr>
          <w:rFonts w:ascii="Times New Roman" w:hAnsi="Times New Roman"/>
          <w:b/>
          <w:sz w:val="24"/>
          <w:szCs w:val="24"/>
        </w:rPr>
        <w:t xml:space="preserve">CÁC </w:t>
      </w:r>
      <w:bookmarkStart w:id="0" w:name="_GoBack"/>
      <w:bookmarkEnd w:id="0"/>
      <w:r>
        <w:rPr>
          <w:rFonts w:ascii="Times New Roman" w:hAnsi="Times New Roman"/>
          <w:b/>
          <w:sz w:val="24"/>
          <w:szCs w:val="24"/>
        </w:rPr>
        <w:t>CƠ CHẾ, CHÍNH SÁCH ĐÃ ĐƯỢC QUY ĐỊNH TẠI NGHỊ QUYẾT SỐ 54/2017/QH14</w:t>
      </w:r>
    </w:p>
    <w:p w:rsidR="0092194C" w:rsidRDefault="0092194C">
      <w:pPr>
        <w:rPr>
          <w:rFonts w:ascii="Times New Roman" w:hAnsi="Times New Roman"/>
          <w:b/>
          <w:bCs/>
          <w:sz w:val="24"/>
          <w:szCs w:val="24"/>
        </w:rPr>
      </w:pP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133"/>
        <w:gridCol w:w="4111"/>
        <w:gridCol w:w="3657"/>
      </w:tblGrid>
      <w:tr w:rsidR="0092194C">
        <w:trPr>
          <w:trHeight w:val="461"/>
          <w:tblHeader/>
        </w:trPr>
        <w:tc>
          <w:tcPr>
            <w:tcW w:w="564" w:type="dxa"/>
            <w:shd w:val="clear" w:color="auto" w:fill="auto"/>
            <w:vAlign w:val="center"/>
          </w:tcPr>
          <w:p w:rsidR="0092194C" w:rsidRDefault="00EA0B08">
            <w:pPr>
              <w:jc w:val="center"/>
              <w:rPr>
                <w:rFonts w:ascii="Times New Roman" w:hAnsi="Times New Roman"/>
                <w:b/>
                <w:sz w:val="26"/>
                <w:szCs w:val="26"/>
              </w:rPr>
            </w:pPr>
            <w:r>
              <w:rPr>
                <w:rFonts w:ascii="Times New Roman" w:hAnsi="Times New Roman"/>
                <w:b/>
                <w:sz w:val="26"/>
                <w:szCs w:val="26"/>
              </w:rPr>
              <w:t>Stt</w:t>
            </w:r>
          </w:p>
        </w:tc>
        <w:tc>
          <w:tcPr>
            <w:tcW w:w="7133" w:type="dxa"/>
            <w:shd w:val="clear" w:color="auto" w:fill="auto"/>
            <w:vAlign w:val="center"/>
          </w:tcPr>
          <w:p w:rsidR="0092194C" w:rsidRDefault="00EA0B08">
            <w:pPr>
              <w:jc w:val="center"/>
              <w:rPr>
                <w:rFonts w:ascii="Times New Roman" w:hAnsi="Times New Roman"/>
                <w:b/>
                <w:sz w:val="26"/>
                <w:szCs w:val="26"/>
              </w:rPr>
            </w:pPr>
            <w:r>
              <w:rPr>
                <w:rFonts w:ascii="Times New Roman" w:hAnsi="Times New Roman"/>
                <w:b/>
                <w:sz w:val="26"/>
                <w:szCs w:val="26"/>
              </w:rPr>
              <w:t>Tên nội dung đề xuất trong dự thảo Nghị quyết đối với một số nội dung tại NQ54/2017/QH14</w:t>
            </w:r>
          </w:p>
        </w:tc>
        <w:tc>
          <w:tcPr>
            <w:tcW w:w="4111" w:type="dxa"/>
            <w:shd w:val="clear" w:color="auto" w:fill="auto"/>
            <w:vAlign w:val="center"/>
          </w:tcPr>
          <w:p w:rsidR="0092194C" w:rsidRDefault="00EA0B08">
            <w:pPr>
              <w:jc w:val="center"/>
              <w:rPr>
                <w:rFonts w:ascii="Times New Roman" w:hAnsi="Times New Roman"/>
                <w:sz w:val="26"/>
                <w:szCs w:val="26"/>
              </w:rPr>
            </w:pPr>
            <w:r>
              <w:rPr>
                <w:rFonts w:ascii="Times New Roman" w:hAnsi="Times New Roman"/>
                <w:b/>
                <w:sz w:val="26"/>
                <w:szCs w:val="26"/>
              </w:rPr>
              <w:t>Cơ chế, chính sách tương tự tại các Nghị quyết đặc thù khác</w:t>
            </w:r>
          </w:p>
        </w:tc>
        <w:tc>
          <w:tcPr>
            <w:tcW w:w="3657" w:type="dxa"/>
            <w:vAlign w:val="center"/>
          </w:tcPr>
          <w:p w:rsidR="0092194C" w:rsidRDefault="00EA0B08">
            <w:pPr>
              <w:jc w:val="center"/>
              <w:rPr>
                <w:rFonts w:ascii="Times New Roman" w:hAnsi="Times New Roman"/>
                <w:sz w:val="26"/>
                <w:szCs w:val="26"/>
              </w:rPr>
            </w:pPr>
            <w:r>
              <w:rPr>
                <w:rFonts w:ascii="Times New Roman" w:hAnsi="Times New Roman"/>
                <w:b/>
                <w:sz w:val="26"/>
                <w:szCs w:val="26"/>
              </w:rPr>
              <w:t>Ghi chú</w:t>
            </w:r>
          </w:p>
        </w:tc>
      </w:tr>
      <w:tr w:rsidR="0092194C">
        <w:trPr>
          <w:trHeight w:val="457"/>
        </w:trPr>
        <w:tc>
          <w:tcPr>
            <w:tcW w:w="564" w:type="dxa"/>
            <w:shd w:val="clear" w:color="auto" w:fill="FFFF00"/>
            <w:vAlign w:val="center"/>
          </w:tcPr>
          <w:p w:rsidR="0092194C" w:rsidRDefault="00EA0B08">
            <w:pPr>
              <w:jc w:val="center"/>
              <w:rPr>
                <w:rFonts w:ascii="Times New Roman" w:hAnsi="Times New Roman"/>
                <w:b/>
                <w:sz w:val="26"/>
                <w:szCs w:val="26"/>
              </w:rPr>
            </w:pPr>
            <w:r>
              <w:rPr>
                <w:rFonts w:ascii="Times New Roman" w:hAnsi="Times New Roman"/>
                <w:b/>
                <w:sz w:val="26"/>
                <w:szCs w:val="26"/>
              </w:rPr>
              <w:t>1</w:t>
            </w:r>
          </w:p>
        </w:tc>
        <w:tc>
          <w:tcPr>
            <w:tcW w:w="14901" w:type="dxa"/>
            <w:gridSpan w:val="3"/>
            <w:shd w:val="clear" w:color="auto" w:fill="FFFF00"/>
            <w:vAlign w:val="center"/>
          </w:tcPr>
          <w:p w:rsidR="0092194C" w:rsidRDefault="00EA0B08">
            <w:pPr>
              <w:rPr>
                <w:rFonts w:ascii="Times New Roman" w:hAnsi="Times New Roman"/>
                <w:b/>
                <w:sz w:val="26"/>
                <w:szCs w:val="26"/>
              </w:rPr>
            </w:pPr>
            <w:r>
              <w:rPr>
                <w:rFonts w:ascii="Times New Roman" w:hAnsi="Times New Roman"/>
                <w:b/>
                <w:sz w:val="26"/>
                <w:szCs w:val="26"/>
              </w:rPr>
              <w:t xml:space="preserve">Điều </w:t>
            </w:r>
            <w:r>
              <w:rPr>
                <w:rFonts w:ascii="Times New Roman" w:hAnsi="Times New Roman"/>
                <w:b/>
                <w:sz w:val="26"/>
                <w:szCs w:val="26"/>
              </w:rPr>
              <w:t>5. Tài chính ngân sách</w:t>
            </w: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t>1.1</w:t>
            </w:r>
          </w:p>
        </w:tc>
        <w:tc>
          <w:tcPr>
            <w:tcW w:w="7133" w:type="dxa"/>
            <w:tcBorders>
              <w:bottom w:val="single" w:sz="4" w:space="0" w:color="auto"/>
            </w:tcBorders>
            <w:shd w:val="clear" w:color="auto" w:fill="auto"/>
          </w:tcPr>
          <w:p w:rsidR="0092194C" w:rsidRDefault="00EA0B08">
            <w:pPr>
              <w:pStyle w:val="ListParagraph"/>
              <w:tabs>
                <w:tab w:val="left" w:pos="993"/>
              </w:tabs>
              <w:ind w:left="0"/>
              <w:jc w:val="both"/>
              <w:rPr>
                <w:rFonts w:ascii="Times New Roman" w:hAnsi="Times New Roman"/>
                <w:b/>
                <w:sz w:val="26"/>
                <w:szCs w:val="26"/>
                <w:lang w:val="nl-NL"/>
              </w:rPr>
            </w:pPr>
            <w:r>
              <w:rPr>
                <w:rFonts w:ascii="Times New Roman" w:hAnsi="Times New Roman"/>
                <w:b/>
                <w:sz w:val="26"/>
                <w:szCs w:val="26"/>
                <w:lang w:val="nl-NL"/>
              </w:rPr>
              <w:t>Khoản 2 Điều 5:</w:t>
            </w:r>
          </w:p>
          <w:p w:rsidR="0092194C" w:rsidRDefault="00EA0B08">
            <w:pPr>
              <w:jc w:val="both"/>
              <w:rPr>
                <w:rFonts w:ascii="Times New Roman" w:hAnsi="Times New Roman"/>
                <w:color w:val="000000"/>
                <w:sz w:val="26"/>
                <w:szCs w:val="26"/>
              </w:rPr>
            </w:pPr>
            <w:r>
              <w:rPr>
                <w:rFonts w:ascii="Times New Roman" w:hAnsi="Times New Roman"/>
                <w:color w:val="000000"/>
                <w:sz w:val="26"/>
                <w:szCs w:val="26"/>
              </w:rPr>
              <w:t>Hội đồng nhân dân Thành phố quyết định áp dụng trên địa bàn:</w:t>
            </w:r>
          </w:p>
          <w:p w:rsidR="0092194C" w:rsidRDefault="00EA0B08">
            <w:pPr>
              <w:jc w:val="both"/>
              <w:rPr>
                <w:rFonts w:ascii="Times New Roman" w:hAnsi="Times New Roman"/>
                <w:color w:val="000000"/>
                <w:sz w:val="26"/>
                <w:szCs w:val="26"/>
              </w:rPr>
            </w:pPr>
            <w:r>
              <w:rPr>
                <w:rFonts w:ascii="Times New Roman" w:hAnsi="Times New Roman"/>
                <w:color w:val="000000"/>
                <w:sz w:val="26"/>
                <w:szCs w:val="26"/>
              </w:rPr>
              <w:t xml:space="preserve">a) Phí, lệ phí chưa được quy định trong Danh mục phí, lệ phí ban hành kèm theo Luật Phí và lệ phí; điều chỉnh mức hoặc tỷ lệ thu phí, lệ phí đã được </w:t>
            </w:r>
            <w:r>
              <w:rPr>
                <w:rFonts w:ascii="Times New Roman" w:hAnsi="Times New Roman"/>
                <w:color w:val="000000"/>
                <w:sz w:val="26"/>
                <w:szCs w:val="26"/>
              </w:rPr>
              <w:t>cấp có thẩm quyền quyết định đối với các loại phí, lệ phí được quy định trong Danh mục phí, lệ phí ban hành kèm theo Luật Phí và lệ phí, trừ án phí, lệ phí Tòa án;</w:t>
            </w:r>
          </w:p>
          <w:p w:rsidR="0092194C" w:rsidRDefault="00EA0B08">
            <w:pPr>
              <w:jc w:val="both"/>
              <w:rPr>
                <w:rFonts w:ascii="Times New Roman" w:hAnsi="Times New Roman"/>
                <w:color w:val="000000"/>
                <w:sz w:val="26"/>
                <w:szCs w:val="26"/>
              </w:rPr>
            </w:pPr>
            <w:r>
              <w:rPr>
                <w:rFonts w:ascii="Times New Roman" w:hAnsi="Times New Roman"/>
                <w:color w:val="000000"/>
                <w:sz w:val="26"/>
                <w:szCs w:val="26"/>
              </w:rPr>
              <w:t xml:space="preserve">b) Ngân sách Thành phố được hưởng 100% số thu tăng thêm từ các khoản thu do việc điều chỉnh </w:t>
            </w:r>
            <w:r>
              <w:rPr>
                <w:rFonts w:ascii="Times New Roman" w:hAnsi="Times New Roman"/>
                <w:color w:val="000000"/>
                <w:sz w:val="26"/>
                <w:szCs w:val="26"/>
              </w:rPr>
              <w:t>chính sách phí, lệ phí quy định tại điểm a khoản này để đầu tư cơ sở hạ tầng kinh tế - xã hội và các nhiệm vụ chi khác thuộc nhiệm vụ chi của ngân sách Thành phố và không dùng để xác định tỷ lệ phần trăm (%) đối với các khoản thu phân chia giữa ngân sách T</w:t>
            </w:r>
            <w:r>
              <w:rPr>
                <w:rFonts w:ascii="Times New Roman" w:hAnsi="Times New Roman"/>
                <w:color w:val="000000"/>
                <w:sz w:val="26"/>
                <w:szCs w:val="26"/>
              </w:rPr>
              <w:t>rung ương và ngân sách Thành phố;</w:t>
            </w:r>
          </w:p>
          <w:p w:rsidR="0092194C" w:rsidRDefault="00EA0B08">
            <w:pPr>
              <w:jc w:val="both"/>
              <w:rPr>
                <w:rFonts w:ascii="Times New Roman" w:hAnsi="Times New Roman"/>
                <w:color w:val="FF0000"/>
                <w:sz w:val="26"/>
                <w:szCs w:val="26"/>
                <w:lang w:val="vi-VN"/>
              </w:rPr>
            </w:pPr>
            <w:r>
              <w:rPr>
                <w:rFonts w:ascii="Times New Roman" w:hAnsi="Times New Roman"/>
                <w:color w:val="000000"/>
                <w:sz w:val="26"/>
                <w:szCs w:val="26"/>
              </w:rPr>
              <w:t>c) Việc thí điểm thực hiện chính sách phí, lệ phí trên địa bàn Thành phố quy định tại điểm a khoản này phải tuân thủ các nguyên tắc: bảo đảm có lộ trình, phù hợp với khả năng và yêu cầu phát triển của Thành phố; tạo môi tr</w:t>
            </w:r>
            <w:r>
              <w:rPr>
                <w:rFonts w:ascii="Times New Roman" w:hAnsi="Times New Roman"/>
                <w:color w:val="000000"/>
                <w:sz w:val="26"/>
                <w:szCs w:val="26"/>
              </w:rPr>
              <w:t>ường sản xuất, kinh doanh thuận lợi cho doanh nghiệp, nhất là đối với doanh nghiệp nhỏ và vừa, ngành, nghề ưu đãi đầu tư; không gây ra tiêu cực, ảnh hưởng đến an ninh, trật tự, an toàn xã hội; bảo đảm sự thống nhất của thị trường, không cản trở lưu thông h</w:t>
            </w:r>
            <w:r>
              <w:rPr>
                <w:rFonts w:ascii="Times New Roman" w:hAnsi="Times New Roman"/>
                <w:color w:val="000000"/>
                <w:sz w:val="26"/>
                <w:szCs w:val="26"/>
              </w:rPr>
              <w:t>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2 Điều 5 Nghị quyết số 54/2017/QH14</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3 Điều 5 Nghị quyết số 54/2017/QH14</w:t>
            </w: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4 Điều 5 Nghị quyết số 54/2017/QH14</w:t>
            </w: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Cs/>
                <w:sz w:val="26"/>
                <w:szCs w:val="26"/>
                <w:shd w:val="clear" w:color="auto" w:fill="FFFFFF"/>
                <w:lang w:val="nl-NL"/>
              </w:rPr>
            </w:pPr>
          </w:p>
        </w:tc>
        <w:tc>
          <w:tcPr>
            <w:tcW w:w="3657" w:type="dxa"/>
          </w:tcPr>
          <w:p w:rsidR="0092194C" w:rsidRDefault="0092194C">
            <w:pPr>
              <w:jc w:val="both"/>
              <w:rPr>
                <w:rFonts w:ascii="Times New Roman" w:hAnsi="Times New Roman"/>
                <w:bCs/>
                <w:sz w:val="26"/>
                <w:szCs w:val="26"/>
                <w:shd w:val="clear" w:color="auto" w:fill="FFFFFF"/>
                <w:lang w:val="nl-NL"/>
              </w:rPr>
            </w:pP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lastRenderedPageBreak/>
              <w:t>1.2</w:t>
            </w:r>
          </w:p>
        </w:tc>
        <w:tc>
          <w:tcPr>
            <w:tcW w:w="7133" w:type="dxa"/>
            <w:tcBorders>
              <w:bottom w:val="single" w:sz="4" w:space="0" w:color="auto"/>
            </w:tcBorders>
            <w:shd w:val="clear" w:color="auto" w:fill="auto"/>
          </w:tcPr>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b/>
                <w:sz w:val="26"/>
                <w:szCs w:val="26"/>
                <w:lang w:val="nl-NL"/>
              </w:rPr>
              <w:t>Khoản 3 Điều 5:</w:t>
            </w:r>
          </w:p>
          <w:p w:rsidR="0092194C" w:rsidRDefault="00EA0B08">
            <w:pPr>
              <w:tabs>
                <w:tab w:val="left" w:pos="851"/>
              </w:tabs>
              <w:jc w:val="both"/>
              <w:rPr>
                <w:rFonts w:ascii="Times New Roman" w:hAnsi="Times New Roman"/>
                <w:sz w:val="26"/>
                <w:szCs w:val="26"/>
                <w:lang w:val="nl-NL"/>
              </w:rPr>
            </w:pPr>
            <w:r>
              <w:rPr>
                <w:rFonts w:ascii="Times New Roman" w:hAnsi="Times New Roman"/>
                <w:sz w:val="26"/>
                <w:szCs w:val="26"/>
              </w:rPr>
              <w:t>Căn cứ dự toán ngân sách nhà nước hằng năm đã được Quốc hội quyết định, Thủ tướng Chính phủ giao và căn cứ vào tình hình thực tế của Thành phố</w:t>
            </w:r>
            <w:r>
              <w:rPr>
                <w:rFonts w:ascii="Times New Roman" w:hAnsi="Times New Roman"/>
                <w:sz w:val="26"/>
                <w:szCs w:val="26"/>
              </w:rPr>
              <w:t>, Hội đồng nhân dân Thành phố quyết định dự toán, phân bổ ngân sách Thành phố bảo đảm phù hợp với các định hướng cơ cấu lại ngân sách, phát triển kinh tế - xã hội và các lĩnh vực quan trọng theo quy định của Quốc hội và Chính phủ</w:t>
            </w:r>
            <w:r>
              <w:rPr>
                <w:rFonts w:ascii="Times New Roman" w:hAnsi="Times New Roman"/>
                <w:sz w:val="26"/>
                <w:szCs w:val="26"/>
                <w:lang w:val="nl-NL"/>
              </w:rPr>
              <w:t>.</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5 Điều 5 Nghị quyết</w:t>
            </w:r>
            <w:r>
              <w:rPr>
                <w:rFonts w:ascii="Times New Roman" w:hAnsi="Times New Roman"/>
                <w:bCs/>
                <w:sz w:val="26"/>
                <w:szCs w:val="26"/>
                <w:shd w:val="clear" w:color="auto" w:fill="FFFFFF"/>
                <w:lang w:val="nl-NL"/>
              </w:rPr>
              <w:t xml:space="preserve"> số 54/2017/QH14</w:t>
            </w:r>
          </w:p>
        </w:tc>
        <w:tc>
          <w:tcPr>
            <w:tcW w:w="3657" w:type="dxa"/>
            <w:tcBorders>
              <w:bottom w:val="single" w:sz="4" w:space="0" w:color="auto"/>
            </w:tcBorders>
          </w:tcPr>
          <w:p w:rsidR="0092194C" w:rsidRDefault="0092194C">
            <w:pPr>
              <w:jc w:val="both"/>
              <w:rPr>
                <w:rFonts w:ascii="Times New Roman" w:hAnsi="Times New Roman"/>
                <w:b/>
                <w:bCs/>
                <w:sz w:val="26"/>
                <w:szCs w:val="26"/>
                <w:shd w:val="clear" w:color="auto" w:fill="FFFFFF"/>
                <w:lang w:val="nl-NL"/>
              </w:rPr>
            </w:pP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t>1.3</w:t>
            </w:r>
          </w:p>
        </w:tc>
        <w:tc>
          <w:tcPr>
            <w:tcW w:w="7133" w:type="dxa"/>
            <w:tcBorders>
              <w:bottom w:val="single" w:sz="4" w:space="0" w:color="auto"/>
            </w:tcBorders>
            <w:shd w:val="clear" w:color="auto" w:fill="auto"/>
          </w:tcPr>
          <w:p w:rsidR="0092194C" w:rsidRDefault="00EA0B08">
            <w:pPr>
              <w:pStyle w:val="ListParagraph"/>
              <w:tabs>
                <w:tab w:val="left" w:pos="851"/>
              </w:tabs>
              <w:ind w:left="0"/>
              <w:jc w:val="both"/>
              <w:rPr>
                <w:rFonts w:ascii="Times New Roman" w:hAnsi="Times New Roman"/>
                <w:sz w:val="26"/>
                <w:szCs w:val="26"/>
                <w:lang w:val="nl-NL"/>
              </w:rPr>
            </w:pPr>
            <w:r>
              <w:rPr>
                <w:rFonts w:ascii="Times New Roman" w:hAnsi="Times New Roman"/>
                <w:b/>
                <w:sz w:val="26"/>
                <w:szCs w:val="26"/>
                <w:lang w:val="nl-NL"/>
              </w:rPr>
              <w:t>Khoản 4 Điều 5:</w:t>
            </w:r>
            <w:r>
              <w:rPr>
                <w:rFonts w:ascii="Times New Roman" w:hAnsi="Times New Roman"/>
                <w:sz w:val="26"/>
                <w:szCs w:val="26"/>
                <w:lang w:val="nl-NL"/>
              </w:rPr>
              <w:t xml:space="preserve"> </w:t>
            </w:r>
            <w:r>
              <w:rPr>
                <w:rFonts w:ascii="Times New Roman" w:hAnsi="Times New Roman"/>
                <w:sz w:val="26"/>
                <w:szCs w:val="26"/>
              </w:rPr>
              <w:t>Thành phố thực hiện cơ chế tạo nguồn thực hiện cải cách tiền lương theo quy định. Sau khi ngân sách Thành phố bảo đảm đủ nguồn thực hiện cải cách tiền lương và các chính sách an sinh xã hội cho cả thời kỳ ổn định ngân</w:t>
            </w:r>
            <w:r>
              <w:rPr>
                <w:rFonts w:ascii="Times New Roman" w:hAnsi="Times New Roman"/>
                <w:sz w:val="26"/>
                <w:szCs w:val="26"/>
              </w:rPr>
              <w:t xml:space="preserve"> sách theo quy định của cấp có thẩm quyền, Hội đồng nhân dân Thành phố quyết định sử dụng nguồn thực hiện cải cách tiền lương còn dư của ngân sách Thành phố Hồ Chí Minh để chi thu nhập tăng thêm theo quy định tại điểm c khoản 2 Điều 9 của Nghị quyết này</w:t>
            </w:r>
            <w:r>
              <w:rPr>
                <w:rFonts w:ascii="Times New Roman" w:hAnsi="Times New Roman"/>
                <w:sz w:val="26"/>
                <w:szCs w:val="26"/>
              </w:rPr>
              <w:t xml:space="preserve"> và để đầu tư cơ sở hạ tầng kinh tế - xã hội thuộc nhiệm vụ chi của ngân sách địa phương</w:t>
            </w:r>
            <w:r>
              <w:rPr>
                <w:rFonts w:ascii="Times New Roman" w:hAnsi="Times New Roman"/>
                <w:sz w:val="26"/>
                <w:szCs w:val="26"/>
                <w:lang w:val="nl-NL"/>
              </w:rPr>
              <w:t>.</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lang w:val="nl-NL"/>
              </w:rPr>
            </w:pPr>
            <w:r>
              <w:rPr>
                <w:rFonts w:ascii="Times New Roman" w:hAnsi="Times New Roman"/>
                <w:bCs/>
                <w:sz w:val="26"/>
                <w:szCs w:val="26"/>
                <w:lang w:val="nl-NL"/>
              </w:rPr>
              <w:t xml:space="preserve">Khoản 6 Điều 5 Nghị quyết số 54/2017/QH14 của Quốc hội: </w:t>
            </w:r>
          </w:p>
          <w:p w:rsidR="0092194C" w:rsidRDefault="00EA0B08">
            <w:pPr>
              <w:jc w:val="both"/>
              <w:rPr>
                <w:rFonts w:ascii="Times New Roman" w:hAnsi="Times New Roman"/>
                <w:bCs/>
                <w:sz w:val="26"/>
                <w:szCs w:val="26"/>
                <w:lang w:val="nl-NL"/>
              </w:rPr>
            </w:pPr>
            <w:r>
              <w:rPr>
                <w:rFonts w:ascii="Times New Roman" w:hAnsi="Times New Roman"/>
                <w:bCs/>
                <w:sz w:val="26"/>
                <w:szCs w:val="26"/>
                <w:lang w:val="nl-NL"/>
              </w:rPr>
              <w:t>Thành phố thực hiện cơ chế tạo nguồn thực hiện cải cách tiền lương theo quy định. Sau khi ngân sách Thành ph</w:t>
            </w:r>
            <w:r>
              <w:rPr>
                <w:rFonts w:ascii="Times New Roman" w:hAnsi="Times New Roman"/>
                <w:bCs/>
                <w:sz w:val="26"/>
                <w:szCs w:val="26"/>
                <w:lang w:val="nl-NL"/>
              </w:rPr>
              <w:t>ố bảo đảm đủ nguồn thực hiện cải cách tiền lương và các chính sách an sinh xã hội cho cả thời kỳ ổn định ngân sách theo quy định của cấp có thẩm quyền, Hội đồng nhân dân Thành phố được quyết định:</w:t>
            </w:r>
          </w:p>
          <w:p w:rsidR="0092194C" w:rsidRDefault="00EA0B08">
            <w:pPr>
              <w:jc w:val="both"/>
              <w:rPr>
                <w:rFonts w:ascii="Times New Roman" w:hAnsi="Times New Roman"/>
                <w:bCs/>
                <w:sz w:val="26"/>
                <w:szCs w:val="26"/>
                <w:lang w:val="nl-NL"/>
              </w:rPr>
            </w:pPr>
            <w:r>
              <w:rPr>
                <w:rFonts w:ascii="Times New Roman" w:hAnsi="Times New Roman"/>
                <w:bCs/>
                <w:sz w:val="26"/>
                <w:szCs w:val="26"/>
                <w:lang w:val="nl-NL"/>
              </w:rPr>
              <w:t>a) Sử dụng nguồn thực hiện cải cách tiền lương còn dư của n</w:t>
            </w:r>
            <w:r>
              <w:rPr>
                <w:rFonts w:ascii="Times New Roman" w:hAnsi="Times New Roman"/>
                <w:bCs/>
                <w:sz w:val="26"/>
                <w:szCs w:val="26"/>
                <w:lang w:val="nl-NL"/>
              </w:rPr>
              <w:t xml:space="preserve">gân sách Thành phố; cho phép ngân sách cấp dưới sử dụng nguồn cải cách tiền lương còn dư để đầu tư cơ sở hạ tầng kinh tế - xã hội thuộc nhiệm vụ chi của ngân sách và chi thu nhập tăng </w:t>
            </w:r>
            <w:r>
              <w:rPr>
                <w:rFonts w:ascii="Times New Roman" w:hAnsi="Times New Roman"/>
                <w:bCs/>
                <w:sz w:val="26"/>
                <w:szCs w:val="26"/>
                <w:lang w:val="nl-NL"/>
              </w:rPr>
              <w:lastRenderedPageBreak/>
              <w:t>thêm trên cơ sở tuân thủ quy định tại khoản 3 và khoản 5 Điều 7 của Nghị</w:t>
            </w:r>
            <w:r>
              <w:rPr>
                <w:rFonts w:ascii="Times New Roman" w:hAnsi="Times New Roman"/>
                <w:bCs/>
                <w:sz w:val="26"/>
                <w:szCs w:val="26"/>
                <w:lang w:val="nl-NL"/>
              </w:rPr>
              <w:t xml:space="preserve"> quyết này;</w:t>
            </w:r>
          </w:p>
          <w:p w:rsidR="0092194C" w:rsidRDefault="00EA0B08">
            <w:pPr>
              <w:pStyle w:val="NormalWeb"/>
              <w:spacing w:before="120" w:beforeAutospacing="0" w:after="120" w:afterAutospacing="0"/>
              <w:jc w:val="both"/>
              <w:rPr>
                <w:color w:val="000000"/>
                <w:sz w:val="26"/>
                <w:szCs w:val="26"/>
                <w:lang w:val="nl-NL"/>
              </w:rPr>
            </w:pPr>
            <w:r>
              <w:rPr>
                <w:color w:val="000000"/>
                <w:sz w:val="26"/>
                <w:szCs w:val="26"/>
                <w:lang w:val="nl-NL"/>
              </w:rPr>
              <w:t>b) Tỷ lệ trích nguồn thu được để lại theo quy định để tạo nguồn cải cách tiền lương đối với các cơ quan, đơn vị thuộc phạm vi quản lý có số thu lớn cho phù hợp; bảo đảm nguyên tắc để các cơ quan, đơn vị này tự sắp xếp bố trí nguồn thực hiện cải</w:t>
            </w:r>
            <w:r>
              <w:rPr>
                <w:color w:val="000000"/>
                <w:sz w:val="26"/>
                <w:szCs w:val="26"/>
                <w:lang w:val="nl-NL"/>
              </w:rPr>
              <w:t xml:space="preserve"> cách tiền lương theo lộ trình do cơ quan có thẩm quyền quyết định; ngân sách nhà nước không bổ sung để thực hiện cải cách tiền lương cho các cơ quan, đơn vị này;</w:t>
            </w:r>
          </w:p>
          <w:p w:rsidR="0092194C" w:rsidRDefault="00EA0B08">
            <w:pPr>
              <w:pStyle w:val="NormalWeb"/>
              <w:spacing w:before="120" w:beforeAutospacing="0" w:after="120" w:afterAutospacing="0"/>
              <w:jc w:val="both"/>
              <w:rPr>
                <w:color w:val="000000"/>
                <w:sz w:val="26"/>
                <w:szCs w:val="26"/>
                <w:lang w:val="nl-NL"/>
              </w:rPr>
            </w:pPr>
            <w:r>
              <w:rPr>
                <w:color w:val="000000"/>
                <w:sz w:val="26"/>
                <w:szCs w:val="26"/>
                <w:lang w:val="nl-NL"/>
              </w:rPr>
              <w:t>c) Cho phép các cơ quan hành chính nhà nước, tổ chức chính trị, tổ chức chính trị - xã hội và</w:t>
            </w:r>
            <w:r>
              <w:rPr>
                <w:color w:val="000000"/>
                <w:sz w:val="26"/>
                <w:szCs w:val="26"/>
                <w:lang w:val="nl-NL"/>
              </w:rPr>
              <w:t xml:space="preserve"> đơn vị sự nghiệp công lập do Thành phố quản lý sử dụng nguồn thực hiện cải cách tiền lương còn dư để tăng chi đầu tư, mua sắm, hoạt động chuyên môn của cơ quan, tổ chức, đơn vị và chi thu nhập tăng thêm trên cơ sở tuân thủ quy định tại khoản 3 và khoản 5 </w:t>
            </w:r>
            <w:r>
              <w:rPr>
                <w:color w:val="000000"/>
                <w:sz w:val="26"/>
                <w:szCs w:val="26"/>
                <w:lang w:val="nl-NL"/>
              </w:rPr>
              <w:t>Điều 6 của Nghị quyết này.</w:t>
            </w:r>
          </w:p>
        </w:tc>
        <w:tc>
          <w:tcPr>
            <w:tcW w:w="3657" w:type="dxa"/>
            <w:tcBorders>
              <w:bottom w:val="single" w:sz="4" w:space="0" w:color="auto"/>
            </w:tcBorders>
          </w:tcPr>
          <w:p w:rsidR="0092194C" w:rsidRDefault="0092194C">
            <w:pPr>
              <w:jc w:val="both"/>
              <w:rPr>
                <w:rFonts w:ascii="Times New Roman" w:hAnsi="Times New Roman"/>
                <w:bCs/>
                <w:sz w:val="26"/>
                <w:szCs w:val="26"/>
                <w:shd w:val="clear" w:color="auto" w:fill="FFFFFF"/>
                <w:lang w:val="nl-NL"/>
              </w:rPr>
            </w:pPr>
          </w:p>
          <w:p w:rsidR="0092194C" w:rsidRDefault="0092194C">
            <w:pPr>
              <w:jc w:val="both"/>
              <w:rPr>
                <w:rFonts w:ascii="Times New Roman" w:hAnsi="Times New Roman"/>
                <w:b/>
                <w:bCs/>
                <w:sz w:val="26"/>
                <w:szCs w:val="26"/>
                <w:shd w:val="clear" w:color="auto" w:fill="FFFFFF"/>
                <w:lang w:val="nl-NL"/>
              </w:rPr>
            </w:pP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lastRenderedPageBreak/>
              <w:t>1.4</w:t>
            </w:r>
          </w:p>
        </w:tc>
        <w:tc>
          <w:tcPr>
            <w:tcW w:w="7133" w:type="dxa"/>
            <w:tcBorders>
              <w:bottom w:val="single" w:sz="4" w:space="0" w:color="auto"/>
            </w:tcBorders>
            <w:shd w:val="clear" w:color="auto" w:fill="auto"/>
          </w:tcPr>
          <w:p w:rsidR="0092194C" w:rsidRDefault="00EA0B08">
            <w:pPr>
              <w:pStyle w:val="ListParagraph"/>
              <w:tabs>
                <w:tab w:val="left" w:pos="993"/>
              </w:tabs>
              <w:ind w:left="0"/>
              <w:jc w:val="both"/>
              <w:rPr>
                <w:rFonts w:ascii="Times New Roman" w:hAnsi="Times New Roman"/>
                <w:b/>
                <w:sz w:val="26"/>
                <w:szCs w:val="26"/>
                <w:lang w:val="nl-NL"/>
              </w:rPr>
            </w:pPr>
            <w:r>
              <w:rPr>
                <w:rFonts w:ascii="Times New Roman" w:hAnsi="Times New Roman"/>
                <w:b/>
                <w:sz w:val="26"/>
                <w:szCs w:val="26"/>
                <w:lang w:val="nl-NL"/>
              </w:rPr>
              <w:t>Khoản 5 Điều 5:</w:t>
            </w:r>
          </w:p>
          <w:p w:rsidR="0092194C" w:rsidRDefault="00EA0B08">
            <w:pPr>
              <w:jc w:val="both"/>
              <w:rPr>
                <w:rFonts w:ascii="Times New Roman" w:hAnsi="Times New Roman"/>
                <w:sz w:val="26"/>
                <w:szCs w:val="26"/>
              </w:rPr>
            </w:pPr>
            <w:r>
              <w:rPr>
                <w:rFonts w:ascii="Times New Roman" w:hAnsi="Times New Roman"/>
                <w:sz w:val="26"/>
                <w:szCs w:val="26"/>
              </w:rPr>
              <w:t>Thành phố được vay thông qua phát hành trái phiếu chính quyền địa phương, vay từ các tổ chức tài chính trong nước, các tổ chức khác trong nước và từ nguồn vay nước ngoài, trong nước của Chính phủ về cho Thà</w:t>
            </w:r>
            <w:r>
              <w:rPr>
                <w:rFonts w:ascii="Times New Roman" w:hAnsi="Times New Roman"/>
                <w:sz w:val="26"/>
                <w:szCs w:val="26"/>
              </w:rPr>
              <w:t xml:space="preserve">nh phố vay lại với tổng mức dư nợ vay không vượt quá 120% số thu ngân sách Thành phố được hưởng theo phân cấp. Tổng mức vay và bội chi ngân sách Thành phố hằng năm do Quốc hội quyết định theo quy định của Luật Ngân sách nhà nước. Hằng năm, trong quá trình </w:t>
            </w:r>
            <w:r>
              <w:rPr>
                <w:rFonts w:ascii="Times New Roman" w:hAnsi="Times New Roman"/>
                <w:sz w:val="26"/>
                <w:szCs w:val="26"/>
              </w:rPr>
              <w:t>chấp hành ngân sách, Hội đồng nhân dân Thành phố được chủ động quyết định cụ thể nguồn vay trong nước và nguồn vay lại vốn vay nước ngoài của Chính phủ, nhưng phải đảm bảo trong tổng mức vay và mức bội chi ngân sách Thành phố đã được Quốc hội quyết định, T</w:t>
            </w:r>
            <w:r>
              <w:rPr>
                <w:rFonts w:ascii="Times New Roman" w:hAnsi="Times New Roman"/>
                <w:sz w:val="26"/>
                <w:szCs w:val="26"/>
              </w:rPr>
              <w:t>hủ tướng Chính phủ giao.</w:t>
            </w:r>
          </w:p>
          <w:p w:rsidR="0092194C" w:rsidRDefault="00EA0B08">
            <w:pPr>
              <w:jc w:val="both"/>
              <w:rPr>
                <w:rFonts w:ascii="Times New Roman" w:hAnsi="Times New Roman"/>
                <w:sz w:val="26"/>
                <w:szCs w:val="26"/>
                <w:lang w:val="nl-NL"/>
              </w:rPr>
            </w:pPr>
            <w:r>
              <w:rPr>
                <w:rFonts w:ascii="Times New Roman" w:hAnsi="Times New Roman"/>
                <w:sz w:val="26"/>
                <w:szCs w:val="26"/>
              </w:rPr>
              <w:t>Đối với nguồn vay nước ngoài, Thành phố được vay lại theo phương thức hỗ trợ ngân sách chung để bố trí cho các chương trình, dự án đầu tư công của Thành phố</w:t>
            </w:r>
            <w:r>
              <w:rPr>
                <w:rFonts w:ascii="Times New Roman" w:hAnsi="Times New Roman"/>
                <w:color w:val="000000"/>
                <w:sz w:val="26"/>
                <w:szCs w:val="26"/>
                <w:lang w:val="nl-NL"/>
              </w:rPr>
              <w:t>.</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7 Điều 5 Nghị quyết số 54/2017/QH14</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xml:space="preserve">Thành phố được vay </w:t>
            </w:r>
            <w:r>
              <w:rPr>
                <w:rFonts w:ascii="Times New Roman" w:hAnsi="Times New Roman"/>
                <w:bCs/>
                <w:sz w:val="26"/>
                <w:szCs w:val="26"/>
                <w:shd w:val="clear" w:color="auto" w:fill="FFFFFF"/>
                <w:lang w:val="nl-NL"/>
              </w:rPr>
              <w:t>thông qua phát hành trái phiếu chính quyền địa phương, vay từ các tổ chức tài chính trong nước, các tổ chức khác trong nước và từ nguồn vay nước ngoài của Chính phủ về cho Thành phố vay lại với tổng mức dư nợ vay không vượt quá 90% số thu ngân sách Thành p</w:t>
            </w:r>
            <w:r>
              <w:rPr>
                <w:rFonts w:ascii="Times New Roman" w:hAnsi="Times New Roman"/>
                <w:bCs/>
                <w:sz w:val="26"/>
                <w:szCs w:val="26"/>
                <w:shd w:val="clear" w:color="auto" w:fill="FFFFFF"/>
                <w:lang w:val="nl-NL"/>
              </w:rPr>
              <w:t>hố được hưởng theo phân cấp. Tổng mức vay và bội chi ngân sách Thành phố hằng năm do Quốc hội quyết định theo quy định của Luật Ngân sách nhà nước.</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Luật Ngân sách Nhà nước;</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Luật Quản lý Nợ công.</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Tình hình thực tiễn;</w:t>
            </w:r>
          </w:p>
          <w:p w:rsidR="0092194C" w:rsidRDefault="0092194C">
            <w:pPr>
              <w:jc w:val="both"/>
              <w:rPr>
                <w:rFonts w:ascii="Times New Roman" w:hAnsi="Times New Roman"/>
                <w:bCs/>
                <w:sz w:val="26"/>
                <w:szCs w:val="26"/>
                <w:shd w:val="clear" w:color="auto" w:fill="FFFFFF"/>
                <w:lang w:val="nl-NL"/>
              </w:rPr>
            </w:pPr>
          </w:p>
        </w:tc>
        <w:tc>
          <w:tcPr>
            <w:tcW w:w="3657" w:type="dxa"/>
            <w:tcBorders>
              <w:bottom w:val="single" w:sz="4" w:space="0" w:color="auto"/>
            </w:tcBorders>
          </w:tcPr>
          <w:p w:rsidR="0092194C" w:rsidRDefault="00EA0B08">
            <w:pPr>
              <w:tabs>
                <w:tab w:val="left" w:pos="709"/>
              </w:tabs>
              <w:jc w:val="both"/>
              <w:rPr>
                <w:rFonts w:ascii="Times New Roman" w:hAnsi="Times New Roman"/>
                <w:bCs/>
                <w:sz w:val="26"/>
                <w:szCs w:val="26"/>
                <w:lang w:val="nl-NL"/>
              </w:rPr>
            </w:pPr>
            <w:r>
              <w:rPr>
                <w:rFonts w:ascii="Times New Roman" w:hAnsi="Times New Roman"/>
                <w:bCs/>
                <w:sz w:val="26"/>
                <w:szCs w:val="26"/>
                <w:lang w:val="nl-NL"/>
              </w:rPr>
              <w:t xml:space="preserve">Có điều chỉnh, bổ sung: </w:t>
            </w:r>
          </w:p>
          <w:p w:rsidR="0092194C" w:rsidRDefault="00EA0B08">
            <w:pPr>
              <w:tabs>
                <w:tab w:val="left" w:pos="709"/>
              </w:tabs>
              <w:jc w:val="both"/>
              <w:rPr>
                <w:rFonts w:ascii="Times New Roman" w:hAnsi="Times New Roman"/>
                <w:sz w:val="26"/>
                <w:szCs w:val="26"/>
                <w:lang w:val="nl-NL"/>
              </w:rPr>
            </w:pPr>
            <w:r>
              <w:rPr>
                <w:rFonts w:ascii="Times New Roman" w:hAnsi="Times New Roman"/>
                <w:bCs/>
                <w:sz w:val="26"/>
                <w:szCs w:val="26"/>
                <w:lang w:val="nl-NL"/>
              </w:rPr>
              <w:t>- “</w:t>
            </w:r>
            <w:r>
              <w:rPr>
                <w:rFonts w:ascii="Times New Roman" w:hAnsi="Times New Roman"/>
                <w:sz w:val="26"/>
                <w:szCs w:val="26"/>
                <w:lang w:val="nl-NL"/>
              </w:rPr>
              <w:t>bao g</w:t>
            </w:r>
            <w:r>
              <w:rPr>
                <w:rFonts w:ascii="Times New Roman" w:hAnsi="Times New Roman"/>
                <w:sz w:val="26"/>
                <w:szCs w:val="26"/>
                <w:lang w:val="nl-NL"/>
              </w:rPr>
              <w:t>ồm cả hình thức vay nước ngoài hỗ trợ ngân sách Thành phố”</w:t>
            </w:r>
          </w:p>
          <w:p w:rsidR="0092194C" w:rsidRDefault="00EA0B08">
            <w:pPr>
              <w:tabs>
                <w:tab w:val="left" w:pos="709"/>
              </w:tabs>
              <w:jc w:val="both"/>
              <w:rPr>
                <w:rFonts w:ascii="Times New Roman" w:hAnsi="Times New Roman"/>
                <w:bCs/>
                <w:sz w:val="26"/>
                <w:szCs w:val="26"/>
                <w:lang w:val="nl-NL"/>
              </w:rPr>
            </w:pPr>
            <w:r>
              <w:rPr>
                <w:rFonts w:ascii="Times New Roman" w:hAnsi="Times New Roman"/>
                <w:bCs/>
                <w:sz w:val="26"/>
                <w:szCs w:val="26"/>
                <w:lang w:val="nl-NL"/>
              </w:rPr>
              <w:t xml:space="preserve">- Tổng mức dư nợ vay không vượt quá </w:t>
            </w:r>
            <w:r>
              <w:rPr>
                <w:rFonts w:ascii="Times New Roman" w:hAnsi="Times New Roman"/>
                <w:bCs/>
                <w:color w:val="FF0000"/>
                <w:sz w:val="26"/>
                <w:szCs w:val="26"/>
                <w:lang w:val="nl-NL"/>
              </w:rPr>
              <w:t>120%</w:t>
            </w:r>
            <w:r>
              <w:rPr>
                <w:rFonts w:ascii="Times New Roman" w:hAnsi="Times New Roman"/>
                <w:bCs/>
                <w:sz w:val="26"/>
                <w:szCs w:val="26"/>
                <w:lang w:val="nl-NL"/>
              </w:rPr>
              <w:t xml:space="preserve"> số thu ngân sách Thành phố;</w:t>
            </w:r>
          </w:p>
          <w:p w:rsidR="0092194C" w:rsidRDefault="00EA0B08">
            <w:pPr>
              <w:tabs>
                <w:tab w:val="left" w:pos="709"/>
              </w:tabs>
              <w:jc w:val="both"/>
              <w:rPr>
                <w:rFonts w:ascii="Times New Roman" w:hAnsi="Times New Roman"/>
                <w:sz w:val="26"/>
                <w:szCs w:val="26"/>
                <w:lang w:val="nl-NL"/>
              </w:rPr>
            </w:pPr>
            <w:r>
              <w:rPr>
                <w:rFonts w:ascii="Times New Roman" w:hAnsi="Times New Roman"/>
                <w:bCs/>
                <w:sz w:val="26"/>
                <w:szCs w:val="26"/>
                <w:shd w:val="clear" w:color="auto" w:fill="FFFFFF"/>
                <w:lang w:val="nl-NL"/>
              </w:rPr>
              <w:t xml:space="preserve">- </w:t>
            </w:r>
            <w:r>
              <w:rPr>
                <w:rFonts w:ascii="Times New Roman" w:hAnsi="Times New Roman"/>
                <w:sz w:val="26"/>
                <w:szCs w:val="26"/>
                <w:lang w:val="nl-NL"/>
              </w:rPr>
              <w:t>Hằng năm, trong quá trình chấp hành ngân sách, Hội đồng nhân dân Thành phố được chủ động quyết định cụ thể nguồn vay trong nướ</w:t>
            </w:r>
            <w:r>
              <w:rPr>
                <w:rFonts w:ascii="Times New Roman" w:hAnsi="Times New Roman"/>
                <w:sz w:val="26"/>
                <w:szCs w:val="26"/>
                <w:lang w:val="nl-NL"/>
              </w:rPr>
              <w:t>c và nguồn vay lại vốn vay nước ngoài của Chính phủ, nhưng phải đảm bảo trong tổng mức vay và mức bội chi ngân sách Thành phố đã được Quốc hội quyết định, Thủ tướng Chính phủ giao.</w:t>
            </w:r>
          </w:p>
          <w:p w:rsidR="0092194C" w:rsidRDefault="00EA0B08">
            <w:pPr>
              <w:tabs>
                <w:tab w:val="left" w:pos="709"/>
              </w:tabs>
              <w:jc w:val="both"/>
              <w:rPr>
                <w:rFonts w:ascii="Times New Roman" w:hAnsi="Times New Roman"/>
                <w:sz w:val="26"/>
                <w:szCs w:val="26"/>
                <w:lang w:val="nl-NL"/>
              </w:rPr>
            </w:pPr>
            <w:r>
              <w:rPr>
                <w:rFonts w:ascii="Times New Roman" w:hAnsi="Times New Roman"/>
                <w:sz w:val="26"/>
                <w:szCs w:val="26"/>
                <w:lang w:val="nl-NL"/>
              </w:rPr>
              <w:t>- Đối với hình thức vay nước ngoài hỗ trợ ngân sách, ngân sách Thành phố đư</w:t>
            </w:r>
            <w:r>
              <w:rPr>
                <w:rFonts w:ascii="Times New Roman" w:hAnsi="Times New Roman"/>
                <w:sz w:val="26"/>
                <w:szCs w:val="26"/>
                <w:lang w:val="nl-NL"/>
              </w:rPr>
              <w:t xml:space="preserve">ợc vay lại theo phương thức hỗ trợ ngân sách chung, khoản hỗ trợ được chuyển trực tiếp vào ngân sách Thành phố để bố trí cho các chương </w:t>
            </w:r>
            <w:r>
              <w:rPr>
                <w:rFonts w:ascii="Times New Roman" w:hAnsi="Times New Roman"/>
                <w:sz w:val="26"/>
                <w:szCs w:val="26"/>
                <w:lang w:val="nl-NL"/>
              </w:rPr>
              <w:lastRenderedPageBreak/>
              <w:t>trình, dự án thuộc danh mục đầu tư công trung hạn của Thành phố</w:t>
            </w: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lastRenderedPageBreak/>
              <w:t>1.5</w:t>
            </w:r>
          </w:p>
        </w:tc>
        <w:tc>
          <w:tcPr>
            <w:tcW w:w="7133" w:type="dxa"/>
            <w:tcBorders>
              <w:bottom w:val="single" w:sz="4" w:space="0" w:color="auto"/>
            </w:tcBorders>
            <w:shd w:val="clear" w:color="auto" w:fill="auto"/>
          </w:tcPr>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b/>
                <w:sz w:val="26"/>
                <w:szCs w:val="26"/>
                <w:lang w:val="nl-NL"/>
              </w:rPr>
              <w:t>Khoản 6 Điều 5:</w:t>
            </w:r>
          </w:p>
          <w:p w:rsidR="0092194C" w:rsidRDefault="00EA0B08">
            <w:pPr>
              <w:tabs>
                <w:tab w:val="left" w:pos="993"/>
              </w:tabs>
              <w:jc w:val="both"/>
              <w:rPr>
                <w:rFonts w:ascii="Times New Roman" w:hAnsi="Times New Roman"/>
                <w:b/>
                <w:sz w:val="26"/>
                <w:szCs w:val="26"/>
                <w:lang w:val="nl-NL"/>
              </w:rPr>
            </w:pPr>
            <w:r>
              <w:rPr>
                <w:rFonts w:ascii="Times New Roman" w:hAnsi="Times New Roman"/>
                <w:sz w:val="26"/>
                <w:szCs w:val="26"/>
              </w:rPr>
              <w:t xml:space="preserve">Hằng năm, ngân sách </w:t>
            </w:r>
            <w:r>
              <w:rPr>
                <w:rFonts w:ascii="Times New Roman" w:hAnsi="Times New Roman"/>
                <w:sz w:val="26"/>
                <w:szCs w:val="26"/>
              </w:rPr>
              <w:t>trung ương bổ sung có mục tiêu cho ngân sách Tỉnh không quá 70% số tăng thu ngân sách trung ương từ các khoản thu phân chia giữa ngân sách trung ương và ngân sách Tỉnh so với dự toán được Thủ tướng Chính phủ giao (phần còn lại sau khi thực hiện thưởng vượt</w:t>
            </w:r>
            <w:r>
              <w:rPr>
                <w:rFonts w:ascii="Times New Roman" w:hAnsi="Times New Roman"/>
                <w:sz w:val="26"/>
                <w:szCs w:val="26"/>
              </w:rPr>
              <w:t xml:space="preserve"> thu theo quy định tại khoản 4 Điều 59 của Luật Ngân sách nhà nước số 83/2015/QH13 đã được sửa đổi, bổ sung một số điều theo Luật số 59/2020/QH14) và các khoản thu ngân sách trung ương hưởng 100% quy định tại các điểm b, c, d, g, h, i và q khoản 1 Điều 35 </w:t>
            </w:r>
            <w:r>
              <w:rPr>
                <w:rFonts w:ascii="Times New Roman" w:hAnsi="Times New Roman"/>
                <w:sz w:val="26"/>
                <w:szCs w:val="26"/>
              </w:rPr>
              <w:t xml:space="preserve">của Luật Ngân sách nhà nước số 83/2015/QH13 đã được sửa đổi, bổ sung một số điều theo Luật số 59/2020/QH14 so với dự toán được Thủ tướng Chính phủ giao, nhưng không vượt quá tổng số tăng thu ngân sách trung ương trên địa bàn so với thực hiện thu năm trước </w:t>
            </w:r>
            <w:r>
              <w:rPr>
                <w:rFonts w:ascii="Times New Roman" w:hAnsi="Times New Roman"/>
                <w:sz w:val="26"/>
                <w:szCs w:val="26"/>
              </w:rPr>
              <w:t>và ngân sách trung ương không hụt thu</w:t>
            </w:r>
            <w:r>
              <w:rPr>
                <w:rFonts w:ascii="Times New Roman" w:hAnsi="Times New Roman"/>
                <w:sz w:val="26"/>
                <w:szCs w:val="26"/>
                <w:lang w:val="nl-NL"/>
              </w:rPr>
              <w:t>.</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8 Điều 5 Nghị quyết số 54/2017/QH14:</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xml:space="preserve">Hằng năm, Chính phủ trình Ủy ban Thường vụ Quốc hội quyết định bổ sung có mục tiêu từ ngân sách trung ương cho ngân sách Thành phố tương ứng 70% số tăng thu ngân sách trung </w:t>
            </w:r>
            <w:r>
              <w:rPr>
                <w:rFonts w:ascii="Times New Roman" w:hAnsi="Times New Roman"/>
                <w:bCs/>
                <w:sz w:val="26"/>
                <w:szCs w:val="26"/>
                <w:shd w:val="clear" w:color="auto" w:fill="FFFFFF"/>
                <w:lang w:val="nl-NL"/>
              </w:rPr>
              <w:t>ương từ các khoản thu phân chia giữa ngân sách trung ương và ngân sách Thành phố so với dự toán Thủ tướng Chính phủ giao (phần còn lại sau khi thực hiện thưởng vượt thu theo quy định tại khoản 4 Điều 59 của Luật Ngân sách nhà nước số 83/2015/QH13) và số tă</w:t>
            </w:r>
            <w:r>
              <w:rPr>
                <w:rFonts w:ascii="Times New Roman" w:hAnsi="Times New Roman"/>
                <w:bCs/>
                <w:sz w:val="26"/>
                <w:szCs w:val="26"/>
                <w:shd w:val="clear" w:color="auto" w:fill="FFFFFF"/>
                <w:lang w:val="nl-NL"/>
              </w:rPr>
              <w:t>ng thu từ các khoản thu ngân sách trung ương hưởng 100% quy định tại các điểm b, c, d, g, h, i và q khoản 1 Điều 35 của Luật Ngân sách nhà nước số 83/2015/QH13 so với dự toán Thủ tướng Chính phủ giao; số bổ sung có mục tiêu không cao hơn số tăng thu ngân s</w:t>
            </w:r>
            <w:r>
              <w:rPr>
                <w:rFonts w:ascii="Times New Roman" w:hAnsi="Times New Roman"/>
                <w:bCs/>
                <w:sz w:val="26"/>
                <w:szCs w:val="26"/>
                <w:shd w:val="clear" w:color="auto" w:fill="FFFFFF"/>
                <w:lang w:val="nl-NL"/>
              </w:rPr>
              <w:t>ách trung ương trên địa bàn so với thực hiện thu năm trước.</w:t>
            </w:r>
          </w:p>
        </w:tc>
        <w:tc>
          <w:tcPr>
            <w:tcW w:w="3657" w:type="dxa"/>
            <w:tcBorders>
              <w:bottom w:val="single" w:sz="4" w:space="0" w:color="auto"/>
            </w:tcBorders>
          </w:tcPr>
          <w:p w:rsidR="0092194C" w:rsidRDefault="00EA0B08">
            <w:pPr>
              <w:tabs>
                <w:tab w:val="left" w:pos="709"/>
              </w:tabs>
              <w:jc w:val="both"/>
              <w:rPr>
                <w:rFonts w:ascii="Times New Roman" w:hAnsi="Times New Roman"/>
                <w:sz w:val="26"/>
                <w:szCs w:val="26"/>
                <w:lang w:val="nl-NL"/>
              </w:rPr>
            </w:pPr>
            <w:r>
              <w:rPr>
                <w:rFonts w:ascii="Times New Roman" w:hAnsi="Times New Roman"/>
                <w:sz w:val="26"/>
                <w:szCs w:val="26"/>
                <w:lang w:val="nl-NL"/>
              </w:rPr>
              <w:t>Bổ sung nội dung:</w:t>
            </w:r>
          </w:p>
          <w:p w:rsidR="0092194C" w:rsidRDefault="00EA0B08">
            <w:pPr>
              <w:tabs>
                <w:tab w:val="left" w:pos="709"/>
              </w:tabs>
              <w:jc w:val="both"/>
              <w:rPr>
                <w:rFonts w:ascii="Times New Roman" w:hAnsi="Times New Roman"/>
                <w:sz w:val="26"/>
                <w:szCs w:val="26"/>
                <w:lang w:val="nl-NL"/>
              </w:rPr>
            </w:pPr>
            <w:r>
              <w:rPr>
                <w:rFonts w:ascii="Times New Roman" w:hAnsi="Times New Roman"/>
                <w:color w:val="FF0000"/>
                <w:sz w:val="26"/>
                <w:szCs w:val="26"/>
                <w:lang w:val="nl-NL"/>
              </w:rPr>
              <w:t>Việc xác định số bổ sung mục tiêu trên cơ sở tính riêng từng khoản thu.</w:t>
            </w:r>
          </w:p>
        </w:tc>
      </w:tr>
      <w:tr w:rsidR="0092194C">
        <w:trPr>
          <w:trHeight w:val="561"/>
        </w:trPr>
        <w:tc>
          <w:tcPr>
            <w:tcW w:w="564" w:type="dxa"/>
            <w:tcBorders>
              <w:bottom w:val="single" w:sz="4" w:space="0" w:color="auto"/>
            </w:tcBorders>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lastRenderedPageBreak/>
              <w:t>1.6</w:t>
            </w:r>
          </w:p>
        </w:tc>
        <w:tc>
          <w:tcPr>
            <w:tcW w:w="7133" w:type="dxa"/>
            <w:tcBorders>
              <w:bottom w:val="single" w:sz="4" w:space="0" w:color="auto"/>
            </w:tcBorders>
            <w:shd w:val="clear" w:color="auto" w:fill="auto"/>
          </w:tcPr>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b/>
                <w:sz w:val="26"/>
                <w:szCs w:val="26"/>
                <w:lang w:val="nl-NL"/>
              </w:rPr>
              <w:t>Khoản 7 Điều 5:</w:t>
            </w:r>
          </w:p>
          <w:p w:rsidR="0092194C" w:rsidRDefault="00EA0B08">
            <w:pPr>
              <w:tabs>
                <w:tab w:val="left" w:pos="993"/>
              </w:tabs>
              <w:jc w:val="both"/>
              <w:rPr>
                <w:rFonts w:ascii="Times New Roman" w:hAnsi="Times New Roman"/>
                <w:sz w:val="26"/>
                <w:szCs w:val="26"/>
                <w:lang w:val="nl-NL"/>
              </w:rPr>
            </w:pPr>
            <w:r>
              <w:rPr>
                <w:rFonts w:ascii="Times New Roman" w:hAnsi="Times New Roman"/>
                <w:color w:val="000000"/>
                <w:sz w:val="26"/>
                <w:szCs w:val="26"/>
              </w:rPr>
              <w:t xml:space="preserve">Ngân sách Thành phố được hưởng 50% khoản thu tiền sử dụng đất khi bán tài sản công </w:t>
            </w:r>
            <w:r>
              <w:rPr>
                <w:rFonts w:ascii="Times New Roman" w:hAnsi="Times New Roman"/>
                <w:color w:val="000000"/>
                <w:sz w:val="26"/>
                <w:szCs w:val="26"/>
              </w:rPr>
              <w:t>gắn liền trên đất theo quy định của Luật Quản lý, sử dụng tài sản công (sau khi đã trừ kinh phí di dời, xây dựng cơ sở vật chất tại địa điểm mới) do các cơ quan, tổ chức, đơn vị thuộc trung ương quản lý trên địa bàn Thành phố (trừ các cơ quan, đơn vị thuộc</w:t>
            </w:r>
            <w:r>
              <w:rPr>
                <w:rFonts w:ascii="Times New Roman" w:hAnsi="Times New Roman"/>
                <w:color w:val="000000"/>
                <w:sz w:val="26"/>
                <w:szCs w:val="26"/>
              </w:rPr>
              <w:t xml:space="preserve"> lĩnh vực quốc phòng, an ninh) để đầu tư hạ tầng kinh tế - xã hội thuộc nhiệm vụ đầu tư công của Thành phố</w:t>
            </w:r>
            <w:r>
              <w:rPr>
                <w:rFonts w:ascii="Times New Roman" w:hAnsi="Times New Roman"/>
                <w:color w:val="000000"/>
                <w:sz w:val="26"/>
                <w:szCs w:val="26"/>
                <w:lang w:val="nl-NL"/>
              </w:rPr>
              <w:t xml:space="preserve">. </w:t>
            </w:r>
          </w:p>
        </w:tc>
        <w:tc>
          <w:tcPr>
            <w:tcW w:w="4111" w:type="dxa"/>
            <w:tcBorders>
              <w:bottom w:val="single" w:sz="4" w:space="0" w:color="auto"/>
            </w:tcBorders>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9 Điều 5 Nghị quyết số 54/2017/QH14:</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Ngân sách Thành phố được hưởng 50% khoản thu tiền sử dụng đất khi bán tài sản công gắn liền trên đất the</w:t>
            </w:r>
            <w:r>
              <w:rPr>
                <w:rFonts w:ascii="Times New Roman" w:hAnsi="Times New Roman"/>
                <w:bCs/>
                <w:sz w:val="26"/>
                <w:szCs w:val="26"/>
                <w:shd w:val="clear" w:color="auto" w:fill="FFFFFF"/>
                <w:lang w:val="nl-NL"/>
              </w:rPr>
              <w:t>o quy định của Luật Quản lý, sử dụng tài sản công (sau khi đã trừ kinh phí di dời, xây dựng cơ sở vật chất tại địa điểm mới) do các cơ quan, tổ chức, đơn vị thuộc trung ương quản lý trên địa bàn Thành phố (trừ các cơ quan, đơn vị thuộc lĩnh vực quốc phòng,</w:t>
            </w:r>
            <w:r>
              <w:rPr>
                <w:rFonts w:ascii="Times New Roman" w:hAnsi="Times New Roman"/>
                <w:bCs/>
                <w:sz w:val="26"/>
                <w:szCs w:val="26"/>
                <w:shd w:val="clear" w:color="auto" w:fill="FFFFFF"/>
                <w:lang w:val="nl-NL"/>
              </w:rPr>
              <w:t xml:space="preserve"> an ninh) để đầu tư hạ tầng kinh tế - xã hội thuộc nhiệm vụ đầu tư công của Thành phố.</w:t>
            </w:r>
          </w:p>
        </w:tc>
        <w:tc>
          <w:tcPr>
            <w:tcW w:w="3657" w:type="dxa"/>
            <w:tcBorders>
              <w:bottom w:val="single" w:sz="4" w:space="0" w:color="auto"/>
            </w:tcBorders>
          </w:tcPr>
          <w:p w:rsidR="0092194C" w:rsidRDefault="00EA0B08">
            <w:pPr>
              <w:shd w:val="clear" w:color="auto" w:fill="FFFFFF"/>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 xml:space="preserve">- Dự thảo Nghị quyết điều chỉnh từ “hưởng 50% khoản thu tiền sử dụng đất” thành “hưởng </w:t>
            </w:r>
            <w:r>
              <w:rPr>
                <w:rFonts w:ascii="Times New Roman" w:hAnsi="Times New Roman"/>
                <w:bCs/>
                <w:sz w:val="26"/>
                <w:szCs w:val="26"/>
                <w:u w:val="single"/>
                <w:shd w:val="clear" w:color="auto" w:fill="FFFFFF"/>
                <w:lang w:val="nl-NL"/>
              </w:rPr>
              <w:t xml:space="preserve">30% </w:t>
            </w:r>
            <w:r>
              <w:rPr>
                <w:rFonts w:ascii="Times New Roman" w:hAnsi="Times New Roman"/>
                <w:bCs/>
                <w:sz w:val="26"/>
                <w:szCs w:val="26"/>
                <w:shd w:val="clear" w:color="auto" w:fill="FFFFFF"/>
                <w:lang w:val="nl-NL"/>
              </w:rPr>
              <w:t>khoản thu tiền sử dụng đất”</w:t>
            </w:r>
          </w:p>
          <w:p w:rsidR="0092194C" w:rsidRDefault="00EA0B08">
            <w:pPr>
              <w:shd w:val="clear" w:color="auto" w:fill="FFFFFF"/>
              <w:jc w:val="both"/>
              <w:rPr>
                <w:rFonts w:ascii="Times New Roman" w:hAnsi="Times New Roman"/>
                <w:sz w:val="26"/>
                <w:szCs w:val="26"/>
                <w:lang w:val="nl-NL"/>
              </w:rPr>
            </w:pPr>
            <w:r>
              <w:rPr>
                <w:rFonts w:ascii="Times New Roman" w:hAnsi="Times New Roman"/>
                <w:bCs/>
                <w:sz w:val="26"/>
                <w:szCs w:val="26"/>
                <w:shd w:val="clear" w:color="auto" w:fill="FFFFFF"/>
                <w:lang w:val="nl-NL"/>
              </w:rPr>
              <w:t>- Thay thế nội dung “sau khi đã trừ kinh phí di dờ</w:t>
            </w:r>
            <w:r>
              <w:rPr>
                <w:rFonts w:ascii="Times New Roman" w:hAnsi="Times New Roman"/>
                <w:bCs/>
                <w:sz w:val="26"/>
                <w:szCs w:val="26"/>
                <w:shd w:val="clear" w:color="auto" w:fill="FFFFFF"/>
                <w:lang w:val="nl-NL"/>
              </w:rPr>
              <w:t xml:space="preserve">i, xây dựng cơ sở vật chất tại địa điểm mới” bằng nội dung </w:t>
            </w:r>
            <w:r>
              <w:rPr>
                <w:rFonts w:ascii="Times New Roman" w:hAnsi="Times New Roman"/>
                <w:sz w:val="26"/>
                <w:szCs w:val="26"/>
                <w:lang w:val="nl-NL"/>
              </w:rPr>
              <w:t>“sau khi đã trừ chi phí liên quan đến việc bán nhà, đất”</w:t>
            </w:r>
          </w:p>
          <w:p w:rsidR="0092194C" w:rsidRDefault="0092194C">
            <w:pPr>
              <w:shd w:val="clear" w:color="auto" w:fill="FFFFFF"/>
              <w:jc w:val="both"/>
              <w:rPr>
                <w:rFonts w:ascii="Times New Roman" w:hAnsi="Times New Roman"/>
                <w:bCs/>
                <w:sz w:val="26"/>
                <w:szCs w:val="26"/>
                <w:shd w:val="clear" w:color="auto" w:fill="FFFFFF"/>
                <w:lang w:val="nl-NL"/>
              </w:rPr>
            </w:pPr>
          </w:p>
        </w:tc>
      </w:tr>
      <w:tr w:rsidR="0092194C">
        <w:trPr>
          <w:trHeight w:val="457"/>
        </w:trPr>
        <w:tc>
          <w:tcPr>
            <w:tcW w:w="564" w:type="dxa"/>
            <w:shd w:val="clear" w:color="auto" w:fill="FFFF00"/>
            <w:vAlign w:val="center"/>
          </w:tcPr>
          <w:p w:rsidR="0092194C" w:rsidRDefault="00EA0B08">
            <w:pPr>
              <w:jc w:val="center"/>
              <w:rPr>
                <w:rFonts w:ascii="Times New Roman" w:hAnsi="Times New Roman"/>
                <w:b/>
                <w:sz w:val="26"/>
                <w:szCs w:val="26"/>
              </w:rPr>
            </w:pPr>
            <w:r>
              <w:rPr>
                <w:rFonts w:ascii="Times New Roman" w:hAnsi="Times New Roman"/>
                <w:b/>
                <w:sz w:val="26"/>
                <w:szCs w:val="26"/>
              </w:rPr>
              <w:t>2</w:t>
            </w:r>
          </w:p>
        </w:tc>
        <w:tc>
          <w:tcPr>
            <w:tcW w:w="14901" w:type="dxa"/>
            <w:gridSpan w:val="3"/>
            <w:shd w:val="clear" w:color="auto" w:fill="FFFF00"/>
            <w:vAlign w:val="center"/>
          </w:tcPr>
          <w:p w:rsidR="0092194C" w:rsidRDefault="00EA0B08">
            <w:pPr>
              <w:rPr>
                <w:rFonts w:ascii="Times New Roman" w:hAnsi="Times New Roman"/>
                <w:b/>
                <w:sz w:val="26"/>
                <w:szCs w:val="26"/>
              </w:rPr>
            </w:pPr>
            <w:r>
              <w:rPr>
                <w:rFonts w:ascii="Times New Roman" w:hAnsi="Times New Roman"/>
                <w:b/>
                <w:sz w:val="26"/>
                <w:szCs w:val="26"/>
              </w:rPr>
              <w:t>Điều 6</w:t>
            </w:r>
            <w:r>
              <w:rPr>
                <w:rFonts w:ascii="Times New Roman" w:hAnsi="Times New Roman"/>
                <w:b/>
                <w:bCs/>
                <w:sz w:val="26"/>
                <w:szCs w:val="26"/>
                <w:lang w:val="nl-NL"/>
              </w:rPr>
              <w:t>. Về quản lý đô thị và tài nguyên môi trường</w:t>
            </w:r>
          </w:p>
        </w:tc>
      </w:tr>
      <w:tr w:rsidR="0092194C">
        <w:trPr>
          <w:trHeight w:val="376"/>
        </w:trPr>
        <w:tc>
          <w:tcPr>
            <w:tcW w:w="564" w:type="dxa"/>
            <w:shd w:val="clear" w:color="auto" w:fill="auto"/>
          </w:tcPr>
          <w:p w:rsidR="0092194C" w:rsidRDefault="00EA0B08">
            <w:pPr>
              <w:jc w:val="center"/>
              <w:rPr>
                <w:rFonts w:ascii="Times New Roman" w:hAnsi="Times New Roman"/>
                <w:b/>
                <w:sz w:val="26"/>
                <w:szCs w:val="26"/>
              </w:rPr>
            </w:pPr>
            <w:r>
              <w:rPr>
                <w:rFonts w:ascii="Times New Roman" w:hAnsi="Times New Roman"/>
                <w:b/>
                <w:sz w:val="26"/>
                <w:szCs w:val="26"/>
              </w:rPr>
              <w:t>2.1</w:t>
            </w:r>
          </w:p>
        </w:tc>
        <w:tc>
          <w:tcPr>
            <w:tcW w:w="7133" w:type="dxa"/>
            <w:shd w:val="clear" w:color="auto" w:fill="auto"/>
          </w:tcPr>
          <w:p w:rsidR="0092194C" w:rsidRDefault="00EA0B08">
            <w:pPr>
              <w:jc w:val="both"/>
              <w:rPr>
                <w:rFonts w:ascii="Times New Roman" w:hAnsi="Times New Roman"/>
                <w:b/>
                <w:sz w:val="26"/>
                <w:szCs w:val="26"/>
                <w:lang w:val="nl-NL"/>
              </w:rPr>
            </w:pPr>
            <w:r>
              <w:rPr>
                <w:rFonts w:ascii="Times New Roman" w:hAnsi="Times New Roman"/>
                <w:b/>
                <w:sz w:val="26"/>
                <w:szCs w:val="26"/>
                <w:lang w:val="nl-NL"/>
              </w:rPr>
              <w:t>Khoản 1</w:t>
            </w:r>
            <w:r>
              <w:rPr>
                <w:rFonts w:ascii="Times New Roman" w:hAnsi="Times New Roman"/>
                <w:b/>
                <w:sz w:val="26"/>
                <w:szCs w:val="26"/>
                <w:lang w:val="vi-VN"/>
              </w:rPr>
              <w:t xml:space="preserve"> </w:t>
            </w:r>
            <w:r>
              <w:rPr>
                <w:rFonts w:ascii="Times New Roman" w:hAnsi="Times New Roman"/>
                <w:b/>
                <w:sz w:val="26"/>
                <w:szCs w:val="26"/>
                <w:lang w:val="nl-NL"/>
              </w:rPr>
              <w:t>Điều 6:</w:t>
            </w:r>
          </w:p>
          <w:p w:rsidR="0092194C" w:rsidRDefault="00EA0B08">
            <w:pPr>
              <w:spacing w:after="60" w:line="340" w:lineRule="exact"/>
              <w:jc w:val="both"/>
              <w:rPr>
                <w:rFonts w:ascii="Times New Roman" w:eastAsia="Calibri" w:hAnsi="Times New Roman"/>
                <w:sz w:val="26"/>
                <w:szCs w:val="26"/>
              </w:rPr>
            </w:pPr>
            <w:r>
              <w:rPr>
                <w:rFonts w:ascii="Times New Roman" w:eastAsia="Calibri" w:hAnsi="Times New Roman"/>
                <w:sz w:val="26"/>
                <w:szCs w:val="26"/>
              </w:rPr>
              <w:t>H</w:t>
            </w:r>
            <w:r>
              <w:rPr>
                <w:rFonts w:ascii="Times New Roman" w:eastAsia="Calibri" w:hAnsi="Times New Roman"/>
                <w:sz w:val="26"/>
                <w:szCs w:val="26"/>
              </w:rPr>
              <w:t>ộ</w:t>
            </w:r>
            <w:r>
              <w:rPr>
                <w:rFonts w:ascii="Times New Roman" w:eastAsia="Calibri" w:hAnsi="Times New Roman"/>
                <w:sz w:val="26"/>
                <w:szCs w:val="26"/>
              </w:rPr>
              <w:t>i đ</w:t>
            </w:r>
            <w:r>
              <w:rPr>
                <w:rFonts w:ascii="Times New Roman" w:eastAsia="Calibri" w:hAnsi="Times New Roman"/>
                <w:sz w:val="26"/>
                <w:szCs w:val="26"/>
              </w:rPr>
              <w:t>ồ</w:t>
            </w:r>
            <w:r>
              <w:rPr>
                <w:rFonts w:ascii="Times New Roman" w:eastAsia="Calibri" w:hAnsi="Times New Roman"/>
                <w:sz w:val="26"/>
                <w:szCs w:val="26"/>
              </w:rPr>
              <w:t>ng nhân dân Thành ph</w:t>
            </w:r>
            <w:r>
              <w:rPr>
                <w:rFonts w:ascii="Times New Roman" w:eastAsia="Calibri" w:hAnsi="Times New Roman"/>
                <w:sz w:val="26"/>
                <w:szCs w:val="26"/>
              </w:rPr>
              <w:t>ố</w:t>
            </w:r>
            <w:r>
              <w:rPr>
                <w:rFonts w:ascii="Times New Roman" w:eastAsia="Calibri" w:hAnsi="Times New Roman"/>
                <w:sz w:val="26"/>
                <w:szCs w:val="26"/>
              </w:rPr>
              <w:t xml:space="preserve"> quy</w:t>
            </w:r>
            <w:r>
              <w:rPr>
                <w:rFonts w:ascii="Times New Roman" w:eastAsia="Calibri" w:hAnsi="Times New Roman"/>
                <w:sz w:val="26"/>
                <w:szCs w:val="26"/>
              </w:rPr>
              <w:t>ế</w:t>
            </w:r>
            <w:r>
              <w:rPr>
                <w:rFonts w:ascii="Times New Roman" w:eastAsia="Calibri" w:hAnsi="Times New Roman"/>
                <w:sz w:val="26"/>
                <w:szCs w:val="26"/>
              </w:rPr>
              <w:t>t đ</w:t>
            </w:r>
            <w:r>
              <w:rPr>
                <w:rFonts w:ascii="Times New Roman" w:eastAsia="Calibri" w:hAnsi="Times New Roman"/>
                <w:sz w:val="26"/>
                <w:szCs w:val="26"/>
              </w:rPr>
              <w:t>ị</w:t>
            </w:r>
            <w:r>
              <w:rPr>
                <w:rFonts w:ascii="Times New Roman" w:eastAsia="Calibri" w:hAnsi="Times New Roman"/>
                <w:sz w:val="26"/>
                <w:szCs w:val="26"/>
              </w:rPr>
              <w:t>nh chuy</w:t>
            </w:r>
            <w:r>
              <w:rPr>
                <w:rFonts w:ascii="Times New Roman" w:eastAsia="Calibri" w:hAnsi="Times New Roman"/>
                <w:sz w:val="26"/>
                <w:szCs w:val="26"/>
              </w:rPr>
              <w:t>ể</w:t>
            </w:r>
            <w:r>
              <w:rPr>
                <w:rFonts w:ascii="Times New Roman" w:eastAsia="Calibri" w:hAnsi="Times New Roman"/>
                <w:sz w:val="26"/>
                <w:szCs w:val="26"/>
              </w:rPr>
              <w:t>n m</w:t>
            </w:r>
            <w:r>
              <w:rPr>
                <w:rFonts w:ascii="Times New Roman" w:eastAsia="Calibri" w:hAnsi="Times New Roman"/>
                <w:sz w:val="26"/>
                <w:szCs w:val="26"/>
              </w:rPr>
              <w:t>ụ</w:t>
            </w:r>
            <w:r>
              <w:rPr>
                <w:rFonts w:ascii="Times New Roman" w:eastAsia="Calibri" w:hAnsi="Times New Roman"/>
                <w:sz w:val="26"/>
                <w:szCs w:val="26"/>
              </w:rPr>
              <w:t>c đích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 xml:space="preserve">ng </w:t>
            </w:r>
            <w:r>
              <w:rPr>
                <w:rFonts w:ascii="Times New Roman" w:eastAsia="Calibri" w:hAnsi="Times New Roman"/>
                <w:sz w:val="26"/>
                <w:szCs w:val="26"/>
              </w:rPr>
              <w:t>đ</w:t>
            </w:r>
            <w:r>
              <w:rPr>
                <w:rFonts w:ascii="Times New Roman" w:eastAsia="Calibri" w:hAnsi="Times New Roman"/>
                <w:sz w:val="26"/>
                <w:szCs w:val="26"/>
              </w:rPr>
              <w:t>ấ</w:t>
            </w:r>
            <w:r>
              <w:rPr>
                <w:rFonts w:ascii="Times New Roman" w:eastAsia="Calibri" w:hAnsi="Times New Roman"/>
                <w:sz w:val="26"/>
                <w:szCs w:val="26"/>
              </w:rPr>
              <w:t>t tr</w:t>
            </w:r>
            <w:r>
              <w:rPr>
                <w:rFonts w:ascii="Times New Roman" w:eastAsia="Calibri" w:hAnsi="Times New Roman"/>
                <w:sz w:val="26"/>
                <w:szCs w:val="26"/>
              </w:rPr>
              <w:t>ồ</w:t>
            </w:r>
            <w:r>
              <w:rPr>
                <w:rFonts w:ascii="Times New Roman" w:eastAsia="Calibri" w:hAnsi="Times New Roman"/>
                <w:sz w:val="26"/>
                <w:szCs w:val="26"/>
              </w:rPr>
              <w:t>ng lúa dư</w:t>
            </w:r>
            <w:r>
              <w:rPr>
                <w:rFonts w:ascii="Times New Roman" w:eastAsia="Calibri" w:hAnsi="Times New Roman"/>
                <w:sz w:val="26"/>
                <w:szCs w:val="26"/>
              </w:rPr>
              <w:t>ớ</w:t>
            </w:r>
            <w:r>
              <w:rPr>
                <w:rFonts w:ascii="Times New Roman" w:eastAsia="Calibri" w:hAnsi="Times New Roman"/>
                <w:sz w:val="26"/>
                <w:szCs w:val="26"/>
              </w:rPr>
              <w:t>i 500 ha phù h</w:t>
            </w:r>
            <w:r>
              <w:rPr>
                <w:rFonts w:ascii="Times New Roman" w:eastAsia="Calibri" w:hAnsi="Times New Roman"/>
                <w:sz w:val="26"/>
                <w:szCs w:val="26"/>
              </w:rPr>
              <w:t>ợ</w:t>
            </w:r>
            <w:r>
              <w:rPr>
                <w:rFonts w:ascii="Times New Roman" w:eastAsia="Calibri" w:hAnsi="Times New Roman"/>
                <w:sz w:val="26"/>
                <w:szCs w:val="26"/>
              </w:rPr>
              <w:t>p v</w:t>
            </w:r>
            <w:r>
              <w:rPr>
                <w:rFonts w:ascii="Times New Roman" w:eastAsia="Calibri" w:hAnsi="Times New Roman"/>
                <w:sz w:val="26"/>
                <w:szCs w:val="26"/>
              </w:rPr>
              <w:t>ớ</w:t>
            </w:r>
            <w:r>
              <w:rPr>
                <w:rFonts w:ascii="Times New Roman" w:eastAsia="Calibri" w:hAnsi="Times New Roman"/>
                <w:sz w:val="26"/>
                <w:szCs w:val="26"/>
              </w:rPr>
              <w:t>i quy ho</w:t>
            </w:r>
            <w:r>
              <w:rPr>
                <w:rFonts w:ascii="Times New Roman" w:eastAsia="Calibri" w:hAnsi="Times New Roman"/>
                <w:sz w:val="26"/>
                <w:szCs w:val="26"/>
              </w:rPr>
              <w:t>ạ</w:t>
            </w:r>
            <w:r>
              <w:rPr>
                <w:rFonts w:ascii="Times New Roman" w:eastAsia="Calibri" w:hAnsi="Times New Roman"/>
                <w:sz w:val="26"/>
                <w:szCs w:val="26"/>
              </w:rPr>
              <w:t>ch, k</w:t>
            </w:r>
            <w:r>
              <w:rPr>
                <w:rFonts w:ascii="Times New Roman" w:eastAsia="Calibri" w:hAnsi="Times New Roman"/>
                <w:sz w:val="26"/>
                <w:szCs w:val="26"/>
              </w:rPr>
              <w:t>ế</w:t>
            </w:r>
            <w:r>
              <w:rPr>
                <w:rFonts w:ascii="Times New Roman" w:eastAsia="Calibri" w:hAnsi="Times New Roman"/>
                <w:sz w:val="26"/>
                <w:szCs w:val="26"/>
              </w:rPr>
              <w:t xml:space="preserve"> ho</w:t>
            </w:r>
            <w:r>
              <w:rPr>
                <w:rFonts w:ascii="Times New Roman" w:eastAsia="Calibri" w:hAnsi="Times New Roman"/>
                <w:sz w:val="26"/>
                <w:szCs w:val="26"/>
              </w:rPr>
              <w:t>ạ</w:t>
            </w:r>
            <w:r>
              <w:rPr>
                <w:rFonts w:ascii="Times New Roman" w:eastAsia="Calibri" w:hAnsi="Times New Roman"/>
                <w:sz w:val="26"/>
                <w:szCs w:val="26"/>
              </w:rPr>
              <w:t>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ng đ</w:t>
            </w:r>
            <w:r>
              <w:rPr>
                <w:rFonts w:ascii="Times New Roman" w:eastAsia="Calibri" w:hAnsi="Times New Roman"/>
                <w:sz w:val="26"/>
                <w:szCs w:val="26"/>
              </w:rPr>
              <w:t>ấ</w:t>
            </w:r>
            <w:r>
              <w:rPr>
                <w:rFonts w:ascii="Times New Roman" w:eastAsia="Calibri" w:hAnsi="Times New Roman"/>
                <w:sz w:val="26"/>
                <w:szCs w:val="26"/>
              </w:rPr>
              <w:t>t đã đư</w:t>
            </w:r>
            <w:r>
              <w:rPr>
                <w:rFonts w:ascii="Times New Roman" w:eastAsia="Calibri" w:hAnsi="Times New Roman"/>
                <w:sz w:val="26"/>
                <w:szCs w:val="26"/>
              </w:rPr>
              <w:t>ợ</w:t>
            </w:r>
            <w:r>
              <w:rPr>
                <w:rFonts w:ascii="Times New Roman" w:eastAsia="Calibri" w:hAnsi="Times New Roman"/>
                <w:sz w:val="26"/>
                <w:szCs w:val="26"/>
              </w:rPr>
              <w:t>c c</w:t>
            </w:r>
            <w:r>
              <w:rPr>
                <w:rFonts w:ascii="Times New Roman" w:eastAsia="Calibri" w:hAnsi="Times New Roman"/>
                <w:sz w:val="26"/>
                <w:szCs w:val="26"/>
              </w:rPr>
              <w:t>ấ</w:t>
            </w:r>
            <w:r>
              <w:rPr>
                <w:rFonts w:ascii="Times New Roman" w:eastAsia="Calibri" w:hAnsi="Times New Roman"/>
                <w:sz w:val="26"/>
                <w:szCs w:val="26"/>
              </w:rPr>
              <w:t>p có th</w:t>
            </w:r>
            <w:r>
              <w:rPr>
                <w:rFonts w:ascii="Times New Roman" w:eastAsia="Calibri" w:hAnsi="Times New Roman"/>
                <w:sz w:val="26"/>
                <w:szCs w:val="26"/>
              </w:rPr>
              <w:t>ẩ</w:t>
            </w:r>
            <w:r>
              <w:rPr>
                <w:rFonts w:ascii="Times New Roman" w:eastAsia="Calibri" w:hAnsi="Times New Roman"/>
                <w:sz w:val="26"/>
                <w:szCs w:val="26"/>
              </w:rPr>
              <w:t>m quy</w:t>
            </w:r>
            <w:r>
              <w:rPr>
                <w:rFonts w:ascii="Times New Roman" w:eastAsia="Calibri" w:hAnsi="Times New Roman"/>
                <w:sz w:val="26"/>
                <w:szCs w:val="26"/>
              </w:rPr>
              <w:t>ề</w:t>
            </w:r>
            <w:r>
              <w:rPr>
                <w:rFonts w:ascii="Times New Roman" w:eastAsia="Calibri" w:hAnsi="Times New Roman"/>
                <w:sz w:val="26"/>
                <w:szCs w:val="26"/>
              </w:rPr>
              <w:t>n quy</w:t>
            </w:r>
            <w:r>
              <w:rPr>
                <w:rFonts w:ascii="Times New Roman" w:eastAsia="Calibri" w:hAnsi="Times New Roman"/>
                <w:sz w:val="26"/>
                <w:szCs w:val="26"/>
              </w:rPr>
              <w:t>ế</w:t>
            </w:r>
            <w:r>
              <w:rPr>
                <w:rFonts w:ascii="Times New Roman" w:eastAsia="Calibri" w:hAnsi="Times New Roman"/>
                <w:sz w:val="26"/>
                <w:szCs w:val="26"/>
              </w:rPr>
              <w:t>t đ</w:t>
            </w:r>
            <w:r>
              <w:rPr>
                <w:rFonts w:ascii="Times New Roman" w:eastAsia="Calibri" w:hAnsi="Times New Roman"/>
                <w:sz w:val="26"/>
                <w:szCs w:val="26"/>
              </w:rPr>
              <w:t>ị</w:t>
            </w:r>
            <w:r>
              <w:rPr>
                <w:rFonts w:ascii="Times New Roman" w:eastAsia="Calibri" w:hAnsi="Times New Roman"/>
                <w:sz w:val="26"/>
                <w:szCs w:val="26"/>
              </w:rPr>
              <w:t>nh.</w:t>
            </w:r>
          </w:p>
          <w:p w:rsidR="0092194C" w:rsidRDefault="00EA0B08">
            <w:pPr>
              <w:spacing w:after="60" w:line="340" w:lineRule="exact"/>
              <w:jc w:val="both"/>
              <w:rPr>
                <w:rFonts w:ascii="Times New Roman" w:eastAsia="Calibri" w:hAnsi="Times New Roman"/>
                <w:sz w:val="26"/>
                <w:szCs w:val="26"/>
              </w:rPr>
            </w:pPr>
            <w:r>
              <w:rPr>
                <w:rFonts w:ascii="Times New Roman" w:eastAsia="Calibri" w:hAnsi="Times New Roman"/>
                <w:sz w:val="26"/>
                <w:szCs w:val="26"/>
              </w:rPr>
              <w:t>a) Vi</w:t>
            </w:r>
            <w:r>
              <w:rPr>
                <w:rFonts w:ascii="Times New Roman" w:eastAsia="Calibri" w:hAnsi="Times New Roman"/>
                <w:sz w:val="26"/>
                <w:szCs w:val="26"/>
              </w:rPr>
              <w:t>ệ</w:t>
            </w:r>
            <w:r>
              <w:rPr>
                <w:rFonts w:ascii="Times New Roman" w:eastAsia="Calibri" w:hAnsi="Times New Roman"/>
                <w:sz w:val="26"/>
                <w:szCs w:val="26"/>
              </w:rPr>
              <w:t>c quy</w:t>
            </w:r>
            <w:r>
              <w:rPr>
                <w:rFonts w:ascii="Times New Roman" w:eastAsia="Calibri" w:hAnsi="Times New Roman"/>
                <w:sz w:val="26"/>
                <w:szCs w:val="26"/>
              </w:rPr>
              <w:t>ế</w:t>
            </w:r>
            <w:r>
              <w:rPr>
                <w:rFonts w:ascii="Times New Roman" w:eastAsia="Calibri" w:hAnsi="Times New Roman"/>
                <w:sz w:val="26"/>
                <w:szCs w:val="26"/>
              </w:rPr>
              <w:t>t đ</w:t>
            </w:r>
            <w:r>
              <w:rPr>
                <w:rFonts w:ascii="Times New Roman" w:eastAsia="Calibri" w:hAnsi="Times New Roman"/>
                <w:sz w:val="26"/>
                <w:szCs w:val="26"/>
              </w:rPr>
              <w:t>ị</w:t>
            </w:r>
            <w:r>
              <w:rPr>
                <w:rFonts w:ascii="Times New Roman" w:eastAsia="Calibri" w:hAnsi="Times New Roman"/>
                <w:sz w:val="26"/>
                <w:szCs w:val="26"/>
              </w:rPr>
              <w:t>nh chuy</w:t>
            </w:r>
            <w:r>
              <w:rPr>
                <w:rFonts w:ascii="Times New Roman" w:eastAsia="Calibri" w:hAnsi="Times New Roman"/>
                <w:sz w:val="26"/>
                <w:szCs w:val="26"/>
              </w:rPr>
              <w:t>ể</w:t>
            </w:r>
            <w:r>
              <w:rPr>
                <w:rFonts w:ascii="Times New Roman" w:eastAsia="Calibri" w:hAnsi="Times New Roman"/>
                <w:sz w:val="26"/>
                <w:szCs w:val="26"/>
              </w:rPr>
              <w:t>n m</w:t>
            </w:r>
            <w:r>
              <w:rPr>
                <w:rFonts w:ascii="Times New Roman" w:eastAsia="Calibri" w:hAnsi="Times New Roman"/>
                <w:sz w:val="26"/>
                <w:szCs w:val="26"/>
              </w:rPr>
              <w:t>ụ</w:t>
            </w:r>
            <w:r>
              <w:rPr>
                <w:rFonts w:ascii="Times New Roman" w:eastAsia="Calibri" w:hAnsi="Times New Roman"/>
                <w:sz w:val="26"/>
                <w:szCs w:val="26"/>
              </w:rPr>
              <w:t>c đích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ng đ</w:t>
            </w:r>
            <w:r>
              <w:rPr>
                <w:rFonts w:ascii="Times New Roman" w:eastAsia="Calibri" w:hAnsi="Times New Roman"/>
                <w:sz w:val="26"/>
                <w:szCs w:val="26"/>
              </w:rPr>
              <w:t>ấ</w:t>
            </w:r>
            <w:r>
              <w:rPr>
                <w:rFonts w:ascii="Times New Roman" w:eastAsia="Calibri" w:hAnsi="Times New Roman"/>
                <w:sz w:val="26"/>
                <w:szCs w:val="26"/>
              </w:rPr>
              <w:t>t tr</w:t>
            </w:r>
            <w:r>
              <w:rPr>
                <w:rFonts w:ascii="Times New Roman" w:eastAsia="Calibri" w:hAnsi="Times New Roman"/>
                <w:sz w:val="26"/>
                <w:szCs w:val="26"/>
              </w:rPr>
              <w:t>ồ</w:t>
            </w:r>
            <w:r>
              <w:rPr>
                <w:rFonts w:ascii="Times New Roman" w:eastAsia="Calibri" w:hAnsi="Times New Roman"/>
                <w:sz w:val="26"/>
                <w:szCs w:val="26"/>
              </w:rPr>
              <w:t>ng lúa ph</w:t>
            </w:r>
            <w:r>
              <w:rPr>
                <w:rFonts w:ascii="Times New Roman" w:eastAsia="Calibri" w:hAnsi="Times New Roman"/>
                <w:sz w:val="26"/>
                <w:szCs w:val="26"/>
              </w:rPr>
              <w:t>ả</w:t>
            </w:r>
            <w:r>
              <w:rPr>
                <w:rFonts w:ascii="Times New Roman" w:eastAsia="Calibri" w:hAnsi="Times New Roman"/>
                <w:sz w:val="26"/>
                <w:szCs w:val="26"/>
              </w:rPr>
              <w:t>i th</w:t>
            </w:r>
            <w:r>
              <w:rPr>
                <w:rFonts w:ascii="Times New Roman" w:eastAsia="Calibri" w:hAnsi="Times New Roman"/>
                <w:sz w:val="26"/>
                <w:szCs w:val="26"/>
              </w:rPr>
              <w:t>ự</w:t>
            </w:r>
            <w:r>
              <w:rPr>
                <w:rFonts w:ascii="Times New Roman" w:eastAsia="Calibri" w:hAnsi="Times New Roman"/>
                <w:sz w:val="26"/>
                <w:szCs w:val="26"/>
              </w:rPr>
              <w:t>c hi</w:t>
            </w:r>
            <w:r>
              <w:rPr>
                <w:rFonts w:ascii="Times New Roman" w:eastAsia="Calibri" w:hAnsi="Times New Roman"/>
                <w:sz w:val="26"/>
                <w:szCs w:val="26"/>
              </w:rPr>
              <w:t>ệ</w:t>
            </w:r>
            <w:r>
              <w:rPr>
                <w:rFonts w:ascii="Times New Roman" w:eastAsia="Calibri" w:hAnsi="Times New Roman"/>
                <w:sz w:val="26"/>
                <w:szCs w:val="26"/>
              </w:rPr>
              <w:t>n công khai, l</w:t>
            </w:r>
            <w:r>
              <w:rPr>
                <w:rFonts w:ascii="Times New Roman" w:eastAsia="Calibri" w:hAnsi="Times New Roman"/>
                <w:sz w:val="26"/>
                <w:szCs w:val="26"/>
              </w:rPr>
              <w:t>ấ</w:t>
            </w:r>
            <w:r>
              <w:rPr>
                <w:rFonts w:ascii="Times New Roman" w:eastAsia="Calibri" w:hAnsi="Times New Roman"/>
                <w:sz w:val="26"/>
                <w:szCs w:val="26"/>
              </w:rPr>
              <w:t>y ý ki</w:t>
            </w:r>
            <w:r>
              <w:rPr>
                <w:rFonts w:ascii="Times New Roman" w:eastAsia="Calibri" w:hAnsi="Times New Roman"/>
                <w:sz w:val="26"/>
                <w:szCs w:val="26"/>
              </w:rPr>
              <w:t>ế</w:t>
            </w:r>
            <w:r>
              <w:rPr>
                <w:rFonts w:ascii="Times New Roman" w:eastAsia="Calibri" w:hAnsi="Times New Roman"/>
                <w:sz w:val="26"/>
                <w:szCs w:val="26"/>
              </w:rPr>
              <w:t>n ngư</w:t>
            </w:r>
            <w:r>
              <w:rPr>
                <w:rFonts w:ascii="Times New Roman" w:eastAsia="Calibri" w:hAnsi="Times New Roman"/>
                <w:sz w:val="26"/>
                <w:szCs w:val="26"/>
              </w:rPr>
              <w:t>ờ</w:t>
            </w:r>
            <w:r>
              <w:rPr>
                <w:rFonts w:ascii="Times New Roman" w:eastAsia="Calibri" w:hAnsi="Times New Roman"/>
                <w:sz w:val="26"/>
                <w:szCs w:val="26"/>
              </w:rPr>
              <w:t>i dân, đ</w:t>
            </w:r>
            <w:r>
              <w:rPr>
                <w:rFonts w:ascii="Times New Roman" w:eastAsia="Calibri" w:hAnsi="Times New Roman"/>
                <w:sz w:val="26"/>
                <w:szCs w:val="26"/>
              </w:rPr>
              <w:t>ố</w:t>
            </w:r>
            <w:r>
              <w:rPr>
                <w:rFonts w:ascii="Times New Roman" w:eastAsia="Calibri" w:hAnsi="Times New Roman"/>
                <w:sz w:val="26"/>
                <w:szCs w:val="26"/>
              </w:rPr>
              <w:t>i tư</w:t>
            </w:r>
            <w:r>
              <w:rPr>
                <w:rFonts w:ascii="Times New Roman" w:eastAsia="Calibri" w:hAnsi="Times New Roman"/>
                <w:sz w:val="26"/>
                <w:szCs w:val="26"/>
              </w:rPr>
              <w:t>ợ</w:t>
            </w:r>
            <w:r>
              <w:rPr>
                <w:rFonts w:ascii="Times New Roman" w:eastAsia="Calibri" w:hAnsi="Times New Roman"/>
                <w:sz w:val="26"/>
                <w:szCs w:val="26"/>
              </w:rPr>
              <w:t>ng ch</w:t>
            </w:r>
            <w:r>
              <w:rPr>
                <w:rFonts w:ascii="Times New Roman" w:eastAsia="Calibri" w:hAnsi="Times New Roman"/>
                <w:sz w:val="26"/>
                <w:szCs w:val="26"/>
              </w:rPr>
              <w:t>ị</w:t>
            </w:r>
            <w:r>
              <w:rPr>
                <w:rFonts w:ascii="Times New Roman" w:eastAsia="Calibri" w:hAnsi="Times New Roman"/>
                <w:sz w:val="26"/>
                <w:szCs w:val="26"/>
              </w:rPr>
              <w:t>u s</w:t>
            </w:r>
            <w:r>
              <w:rPr>
                <w:rFonts w:ascii="Times New Roman" w:eastAsia="Calibri" w:hAnsi="Times New Roman"/>
                <w:sz w:val="26"/>
                <w:szCs w:val="26"/>
              </w:rPr>
              <w:t>ự</w:t>
            </w:r>
            <w:r>
              <w:rPr>
                <w:rFonts w:ascii="Times New Roman" w:eastAsia="Calibri" w:hAnsi="Times New Roman"/>
                <w:sz w:val="26"/>
                <w:szCs w:val="26"/>
              </w:rPr>
              <w:t xml:space="preserve"> tác đ</w:t>
            </w:r>
            <w:r>
              <w:rPr>
                <w:rFonts w:ascii="Times New Roman" w:eastAsia="Calibri" w:hAnsi="Times New Roman"/>
                <w:sz w:val="26"/>
                <w:szCs w:val="26"/>
              </w:rPr>
              <w:t>ộ</w:t>
            </w:r>
            <w:r>
              <w:rPr>
                <w:rFonts w:ascii="Times New Roman" w:eastAsia="Calibri" w:hAnsi="Times New Roman"/>
                <w:sz w:val="26"/>
                <w:szCs w:val="26"/>
              </w:rPr>
              <w:t>ng c</w:t>
            </w:r>
            <w:r>
              <w:rPr>
                <w:rFonts w:ascii="Times New Roman" w:eastAsia="Calibri" w:hAnsi="Times New Roman"/>
                <w:sz w:val="26"/>
                <w:szCs w:val="26"/>
              </w:rPr>
              <w:t>ủ</w:t>
            </w:r>
            <w:r>
              <w:rPr>
                <w:rFonts w:ascii="Times New Roman" w:eastAsia="Calibri" w:hAnsi="Times New Roman"/>
                <w:sz w:val="26"/>
                <w:szCs w:val="26"/>
              </w:rPr>
              <w:t>a vi</w:t>
            </w:r>
            <w:r>
              <w:rPr>
                <w:rFonts w:ascii="Times New Roman" w:eastAsia="Calibri" w:hAnsi="Times New Roman"/>
                <w:sz w:val="26"/>
                <w:szCs w:val="26"/>
              </w:rPr>
              <w:t>ệ</w:t>
            </w:r>
            <w:r>
              <w:rPr>
                <w:rFonts w:ascii="Times New Roman" w:eastAsia="Calibri" w:hAnsi="Times New Roman"/>
                <w:sz w:val="26"/>
                <w:szCs w:val="26"/>
              </w:rPr>
              <w:t>c chuy</w:t>
            </w:r>
            <w:r>
              <w:rPr>
                <w:rFonts w:ascii="Times New Roman" w:eastAsia="Calibri" w:hAnsi="Times New Roman"/>
                <w:sz w:val="26"/>
                <w:szCs w:val="26"/>
              </w:rPr>
              <w:t>ể</w:t>
            </w:r>
            <w:r>
              <w:rPr>
                <w:rFonts w:ascii="Times New Roman" w:eastAsia="Calibri" w:hAnsi="Times New Roman"/>
                <w:sz w:val="26"/>
                <w:szCs w:val="26"/>
              </w:rPr>
              <w:t xml:space="preserve">n </w:t>
            </w:r>
            <w:r>
              <w:rPr>
                <w:rFonts w:ascii="Times New Roman" w:eastAsia="Calibri" w:hAnsi="Times New Roman"/>
                <w:sz w:val="26"/>
                <w:szCs w:val="26"/>
              </w:rPr>
              <w:t>m</w:t>
            </w:r>
            <w:r>
              <w:rPr>
                <w:rFonts w:ascii="Times New Roman" w:eastAsia="Calibri" w:hAnsi="Times New Roman"/>
                <w:sz w:val="26"/>
                <w:szCs w:val="26"/>
              </w:rPr>
              <w:t>ụ</w:t>
            </w:r>
            <w:r>
              <w:rPr>
                <w:rFonts w:ascii="Times New Roman" w:eastAsia="Calibri" w:hAnsi="Times New Roman"/>
                <w:sz w:val="26"/>
                <w:szCs w:val="26"/>
              </w:rPr>
              <w:t>c đích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ng và b</w:t>
            </w:r>
            <w:r>
              <w:rPr>
                <w:rFonts w:ascii="Times New Roman" w:eastAsia="Calibri" w:hAnsi="Times New Roman"/>
                <w:sz w:val="26"/>
                <w:szCs w:val="26"/>
              </w:rPr>
              <w:t>ả</w:t>
            </w:r>
            <w:r>
              <w:rPr>
                <w:rFonts w:ascii="Times New Roman" w:eastAsia="Calibri" w:hAnsi="Times New Roman"/>
                <w:sz w:val="26"/>
                <w:szCs w:val="26"/>
              </w:rPr>
              <w:t>o đ</w:t>
            </w:r>
            <w:r>
              <w:rPr>
                <w:rFonts w:ascii="Times New Roman" w:eastAsia="Calibri" w:hAnsi="Times New Roman"/>
                <w:sz w:val="26"/>
                <w:szCs w:val="26"/>
              </w:rPr>
              <w:t>ả</w:t>
            </w:r>
            <w:r>
              <w:rPr>
                <w:rFonts w:ascii="Times New Roman" w:eastAsia="Calibri" w:hAnsi="Times New Roman"/>
                <w:sz w:val="26"/>
                <w:szCs w:val="26"/>
              </w:rPr>
              <w:t>m nguyên t</w:t>
            </w:r>
            <w:r>
              <w:rPr>
                <w:rFonts w:ascii="Times New Roman" w:eastAsia="Calibri" w:hAnsi="Times New Roman"/>
                <w:sz w:val="26"/>
                <w:szCs w:val="26"/>
              </w:rPr>
              <w:t>ắ</w:t>
            </w:r>
            <w:r>
              <w:rPr>
                <w:rFonts w:ascii="Times New Roman" w:eastAsia="Calibri" w:hAnsi="Times New Roman"/>
                <w:sz w:val="26"/>
                <w:szCs w:val="26"/>
              </w:rPr>
              <w:t>c, đi</w:t>
            </w:r>
            <w:r>
              <w:rPr>
                <w:rFonts w:ascii="Times New Roman" w:eastAsia="Calibri" w:hAnsi="Times New Roman"/>
                <w:sz w:val="26"/>
                <w:szCs w:val="26"/>
              </w:rPr>
              <w:t>ề</w:t>
            </w:r>
            <w:r>
              <w:rPr>
                <w:rFonts w:ascii="Times New Roman" w:eastAsia="Calibri" w:hAnsi="Times New Roman"/>
                <w:sz w:val="26"/>
                <w:szCs w:val="26"/>
              </w:rPr>
              <w:t xml:space="preserve">u </w:t>
            </w:r>
            <w:r>
              <w:rPr>
                <w:rFonts w:ascii="Times New Roman" w:eastAsia="Calibri" w:hAnsi="Times New Roman"/>
                <w:sz w:val="26"/>
                <w:szCs w:val="26"/>
              </w:rPr>
              <w:lastRenderedPageBreak/>
              <w:t>ki</w:t>
            </w:r>
            <w:r>
              <w:rPr>
                <w:rFonts w:ascii="Times New Roman" w:eastAsia="Calibri" w:hAnsi="Times New Roman"/>
                <w:sz w:val="26"/>
                <w:szCs w:val="26"/>
              </w:rPr>
              <w:t>ệ</w:t>
            </w:r>
            <w:r>
              <w:rPr>
                <w:rFonts w:ascii="Times New Roman" w:eastAsia="Calibri" w:hAnsi="Times New Roman"/>
                <w:sz w:val="26"/>
                <w:szCs w:val="26"/>
              </w:rPr>
              <w:t>n chuy</w:t>
            </w:r>
            <w:r>
              <w:rPr>
                <w:rFonts w:ascii="Times New Roman" w:eastAsia="Calibri" w:hAnsi="Times New Roman"/>
                <w:sz w:val="26"/>
                <w:szCs w:val="26"/>
              </w:rPr>
              <w:t>ể</w:t>
            </w:r>
            <w:r>
              <w:rPr>
                <w:rFonts w:ascii="Times New Roman" w:eastAsia="Calibri" w:hAnsi="Times New Roman"/>
                <w:sz w:val="26"/>
                <w:szCs w:val="26"/>
              </w:rPr>
              <w:t>n m</w:t>
            </w:r>
            <w:r>
              <w:rPr>
                <w:rFonts w:ascii="Times New Roman" w:eastAsia="Calibri" w:hAnsi="Times New Roman"/>
                <w:sz w:val="26"/>
                <w:szCs w:val="26"/>
              </w:rPr>
              <w:t>ụ</w:t>
            </w:r>
            <w:r>
              <w:rPr>
                <w:rFonts w:ascii="Times New Roman" w:eastAsia="Calibri" w:hAnsi="Times New Roman"/>
                <w:sz w:val="26"/>
                <w:szCs w:val="26"/>
              </w:rPr>
              <w:t>c đích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ng đ</w:t>
            </w:r>
            <w:r>
              <w:rPr>
                <w:rFonts w:ascii="Times New Roman" w:eastAsia="Calibri" w:hAnsi="Times New Roman"/>
                <w:sz w:val="26"/>
                <w:szCs w:val="26"/>
              </w:rPr>
              <w:t>ấ</w:t>
            </w:r>
            <w:r>
              <w:rPr>
                <w:rFonts w:ascii="Times New Roman" w:eastAsia="Calibri" w:hAnsi="Times New Roman"/>
                <w:sz w:val="26"/>
                <w:szCs w:val="26"/>
              </w:rPr>
              <w:t>t tr</w:t>
            </w:r>
            <w:r>
              <w:rPr>
                <w:rFonts w:ascii="Times New Roman" w:eastAsia="Calibri" w:hAnsi="Times New Roman"/>
                <w:sz w:val="26"/>
                <w:szCs w:val="26"/>
              </w:rPr>
              <w:t>ồ</w:t>
            </w:r>
            <w:r>
              <w:rPr>
                <w:rFonts w:ascii="Times New Roman" w:eastAsia="Calibri" w:hAnsi="Times New Roman"/>
                <w:sz w:val="26"/>
                <w:szCs w:val="26"/>
              </w:rPr>
              <w:t>ng lúa sang m</w:t>
            </w:r>
            <w:r>
              <w:rPr>
                <w:rFonts w:ascii="Times New Roman" w:eastAsia="Calibri" w:hAnsi="Times New Roman"/>
                <w:sz w:val="26"/>
                <w:szCs w:val="26"/>
              </w:rPr>
              <w:t>ụ</w:t>
            </w:r>
            <w:r>
              <w:rPr>
                <w:rFonts w:ascii="Times New Roman" w:eastAsia="Calibri" w:hAnsi="Times New Roman"/>
                <w:sz w:val="26"/>
                <w:szCs w:val="26"/>
              </w:rPr>
              <w:t>c đích khác theo quy đ</w:t>
            </w:r>
            <w:r>
              <w:rPr>
                <w:rFonts w:ascii="Times New Roman" w:eastAsia="Calibri" w:hAnsi="Times New Roman"/>
                <w:sz w:val="26"/>
                <w:szCs w:val="26"/>
              </w:rPr>
              <w:t>ị</w:t>
            </w:r>
            <w:r>
              <w:rPr>
                <w:rFonts w:ascii="Times New Roman" w:eastAsia="Calibri" w:hAnsi="Times New Roman"/>
                <w:sz w:val="26"/>
                <w:szCs w:val="26"/>
              </w:rPr>
              <w:t>nh c</w:t>
            </w:r>
            <w:r>
              <w:rPr>
                <w:rFonts w:ascii="Times New Roman" w:eastAsia="Calibri" w:hAnsi="Times New Roman"/>
                <w:sz w:val="26"/>
                <w:szCs w:val="26"/>
              </w:rPr>
              <w:t>ủ</w:t>
            </w:r>
            <w:r>
              <w:rPr>
                <w:rFonts w:ascii="Times New Roman" w:eastAsia="Calibri" w:hAnsi="Times New Roman"/>
                <w:sz w:val="26"/>
                <w:szCs w:val="26"/>
              </w:rPr>
              <w:t>a pháp lu</w:t>
            </w:r>
            <w:r>
              <w:rPr>
                <w:rFonts w:ascii="Times New Roman" w:eastAsia="Calibri" w:hAnsi="Times New Roman"/>
                <w:sz w:val="26"/>
                <w:szCs w:val="26"/>
              </w:rPr>
              <w:t>ậ</w:t>
            </w:r>
            <w:r>
              <w:rPr>
                <w:rFonts w:ascii="Times New Roman" w:eastAsia="Calibri" w:hAnsi="Times New Roman"/>
                <w:sz w:val="26"/>
                <w:szCs w:val="26"/>
              </w:rPr>
              <w:t>t v</w:t>
            </w:r>
            <w:r>
              <w:rPr>
                <w:rFonts w:ascii="Times New Roman" w:eastAsia="Calibri" w:hAnsi="Times New Roman"/>
                <w:sz w:val="26"/>
                <w:szCs w:val="26"/>
              </w:rPr>
              <w:t>ề</w:t>
            </w:r>
            <w:r>
              <w:rPr>
                <w:rFonts w:ascii="Times New Roman" w:eastAsia="Calibri" w:hAnsi="Times New Roman"/>
                <w:sz w:val="26"/>
                <w:szCs w:val="26"/>
              </w:rPr>
              <w:t xml:space="preserve"> đ</w:t>
            </w:r>
            <w:r>
              <w:rPr>
                <w:rFonts w:ascii="Times New Roman" w:eastAsia="Calibri" w:hAnsi="Times New Roman"/>
                <w:sz w:val="26"/>
                <w:szCs w:val="26"/>
              </w:rPr>
              <w:t>ấ</w:t>
            </w:r>
            <w:r>
              <w:rPr>
                <w:rFonts w:ascii="Times New Roman" w:eastAsia="Calibri" w:hAnsi="Times New Roman"/>
                <w:sz w:val="26"/>
                <w:szCs w:val="26"/>
              </w:rPr>
              <w:t>t đai và quy đ</w:t>
            </w:r>
            <w:r>
              <w:rPr>
                <w:rFonts w:ascii="Times New Roman" w:eastAsia="Calibri" w:hAnsi="Times New Roman"/>
                <w:sz w:val="26"/>
                <w:szCs w:val="26"/>
              </w:rPr>
              <w:t>ị</w:t>
            </w:r>
            <w:r>
              <w:rPr>
                <w:rFonts w:ascii="Times New Roman" w:eastAsia="Calibri" w:hAnsi="Times New Roman"/>
                <w:sz w:val="26"/>
                <w:szCs w:val="26"/>
              </w:rPr>
              <w:t>nh khác c</w:t>
            </w:r>
            <w:r>
              <w:rPr>
                <w:rFonts w:ascii="Times New Roman" w:eastAsia="Calibri" w:hAnsi="Times New Roman"/>
                <w:sz w:val="26"/>
                <w:szCs w:val="26"/>
              </w:rPr>
              <w:t>ủ</w:t>
            </w:r>
            <w:r>
              <w:rPr>
                <w:rFonts w:ascii="Times New Roman" w:eastAsia="Calibri" w:hAnsi="Times New Roman"/>
                <w:sz w:val="26"/>
                <w:szCs w:val="26"/>
              </w:rPr>
              <w:t>a pháp lu</w:t>
            </w:r>
            <w:r>
              <w:rPr>
                <w:rFonts w:ascii="Times New Roman" w:eastAsia="Calibri" w:hAnsi="Times New Roman"/>
                <w:sz w:val="26"/>
                <w:szCs w:val="26"/>
              </w:rPr>
              <w:t>ậ</w:t>
            </w:r>
            <w:r>
              <w:rPr>
                <w:rFonts w:ascii="Times New Roman" w:eastAsia="Calibri" w:hAnsi="Times New Roman"/>
                <w:sz w:val="26"/>
                <w:szCs w:val="26"/>
              </w:rPr>
              <w:t>t có liên quan.</w:t>
            </w:r>
          </w:p>
          <w:p w:rsidR="0092194C" w:rsidRDefault="00EA0B08">
            <w:pPr>
              <w:tabs>
                <w:tab w:val="left" w:pos="851"/>
              </w:tabs>
              <w:contextualSpacing/>
              <w:jc w:val="both"/>
              <w:rPr>
                <w:rFonts w:ascii="Times New Roman" w:hAnsi="Times New Roman"/>
                <w:sz w:val="26"/>
                <w:szCs w:val="26"/>
                <w:lang w:val="nl-NL"/>
              </w:rPr>
            </w:pPr>
            <w:r>
              <w:rPr>
                <w:rFonts w:ascii="Times New Roman" w:eastAsia="Calibri" w:hAnsi="Times New Roman"/>
                <w:sz w:val="26"/>
                <w:szCs w:val="26"/>
              </w:rPr>
              <w:t>b) Trình t</w:t>
            </w:r>
            <w:r>
              <w:rPr>
                <w:rFonts w:ascii="Times New Roman" w:eastAsia="Calibri" w:hAnsi="Times New Roman"/>
                <w:sz w:val="26"/>
                <w:szCs w:val="26"/>
              </w:rPr>
              <w:t>ự</w:t>
            </w:r>
            <w:r>
              <w:rPr>
                <w:rFonts w:ascii="Times New Roman" w:eastAsia="Calibri" w:hAnsi="Times New Roman"/>
                <w:sz w:val="26"/>
                <w:szCs w:val="26"/>
              </w:rPr>
              <w:t>, th</w:t>
            </w:r>
            <w:r>
              <w:rPr>
                <w:rFonts w:ascii="Times New Roman" w:eastAsia="Calibri" w:hAnsi="Times New Roman"/>
                <w:sz w:val="26"/>
                <w:szCs w:val="26"/>
              </w:rPr>
              <w:t>ủ</w:t>
            </w:r>
            <w:r>
              <w:rPr>
                <w:rFonts w:ascii="Times New Roman" w:eastAsia="Calibri" w:hAnsi="Times New Roman"/>
                <w:sz w:val="26"/>
                <w:szCs w:val="26"/>
              </w:rPr>
              <w:t xml:space="preserve"> t</w:t>
            </w:r>
            <w:r>
              <w:rPr>
                <w:rFonts w:ascii="Times New Roman" w:eastAsia="Calibri" w:hAnsi="Times New Roman"/>
                <w:sz w:val="26"/>
                <w:szCs w:val="26"/>
              </w:rPr>
              <w:t>ụ</w:t>
            </w:r>
            <w:r>
              <w:rPr>
                <w:rFonts w:ascii="Times New Roman" w:eastAsia="Calibri" w:hAnsi="Times New Roman"/>
                <w:sz w:val="26"/>
                <w:szCs w:val="26"/>
              </w:rPr>
              <w:t>c chuy</w:t>
            </w:r>
            <w:r>
              <w:rPr>
                <w:rFonts w:ascii="Times New Roman" w:eastAsia="Calibri" w:hAnsi="Times New Roman"/>
                <w:sz w:val="26"/>
                <w:szCs w:val="26"/>
              </w:rPr>
              <w:t>ể</w:t>
            </w:r>
            <w:r>
              <w:rPr>
                <w:rFonts w:ascii="Times New Roman" w:eastAsia="Calibri" w:hAnsi="Times New Roman"/>
                <w:sz w:val="26"/>
                <w:szCs w:val="26"/>
              </w:rPr>
              <w:t>n m</w:t>
            </w:r>
            <w:r>
              <w:rPr>
                <w:rFonts w:ascii="Times New Roman" w:eastAsia="Calibri" w:hAnsi="Times New Roman"/>
                <w:sz w:val="26"/>
                <w:szCs w:val="26"/>
              </w:rPr>
              <w:t>ụ</w:t>
            </w:r>
            <w:r>
              <w:rPr>
                <w:rFonts w:ascii="Times New Roman" w:eastAsia="Calibri" w:hAnsi="Times New Roman"/>
                <w:sz w:val="26"/>
                <w:szCs w:val="26"/>
              </w:rPr>
              <w:t>c đích s</w:t>
            </w:r>
            <w:r>
              <w:rPr>
                <w:rFonts w:ascii="Times New Roman" w:eastAsia="Calibri" w:hAnsi="Times New Roman"/>
                <w:sz w:val="26"/>
                <w:szCs w:val="26"/>
              </w:rPr>
              <w:t>ử</w:t>
            </w:r>
            <w:r>
              <w:rPr>
                <w:rFonts w:ascii="Times New Roman" w:eastAsia="Calibri" w:hAnsi="Times New Roman"/>
                <w:sz w:val="26"/>
                <w:szCs w:val="26"/>
              </w:rPr>
              <w:t xml:space="preserve"> d</w:t>
            </w:r>
            <w:r>
              <w:rPr>
                <w:rFonts w:ascii="Times New Roman" w:eastAsia="Calibri" w:hAnsi="Times New Roman"/>
                <w:sz w:val="26"/>
                <w:szCs w:val="26"/>
              </w:rPr>
              <w:t>ụ</w:t>
            </w:r>
            <w:r>
              <w:rPr>
                <w:rFonts w:ascii="Times New Roman" w:eastAsia="Calibri" w:hAnsi="Times New Roman"/>
                <w:sz w:val="26"/>
                <w:szCs w:val="26"/>
              </w:rPr>
              <w:t>ng đ</w:t>
            </w:r>
            <w:r>
              <w:rPr>
                <w:rFonts w:ascii="Times New Roman" w:eastAsia="Calibri" w:hAnsi="Times New Roman"/>
                <w:sz w:val="26"/>
                <w:szCs w:val="26"/>
              </w:rPr>
              <w:t>ấ</w:t>
            </w:r>
            <w:r>
              <w:rPr>
                <w:rFonts w:ascii="Times New Roman" w:eastAsia="Calibri" w:hAnsi="Times New Roman"/>
                <w:sz w:val="26"/>
                <w:szCs w:val="26"/>
              </w:rPr>
              <w:t>t tr</w:t>
            </w:r>
            <w:r>
              <w:rPr>
                <w:rFonts w:ascii="Times New Roman" w:eastAsia="Calibri" w:hAnsi="Times New Roman"/>
                <w:sz w:val="26"/>
                <w:szCs w:val="26"/>
              </w:rPr>
              <w:t>ồ</w:t>
            </w:r>
            <w:r>
              <w:rPr>
                <w:rFonts w:ascii="Times New Roman" w:eastAsia="Calibri" w:hAnsi="Times New Roman"/>
                <w:sz w:val="26"/>
                <w:szCs w:val="26"/>
              </w:rPr>
              <w:t>ng lúa dư</w:t>
            </w:r>
            <w:r>
              <w:rPr>
                <w:rFonts w:ascii="Times New Roman" w:eastAsia="Calibri" w:hAnsi="Times New Roman"/>
                <w:sz w:val="26"/>
                <w:szCs w:val="26"/>
              </w:rPr>
              <w:t>ớ</w:t>
            </w:r>
            <w:r>
              <w:rPr>
                <w:rFonts w:ascii="Times New Roman" w:eastAsia="Calibri" w:hAnsi="Times New Roman"/>
                <w:sz w:val="26"/>
                <w:szCs w:val="26"/>
              </w:rPr>
              <w:t>i 5</w:t>
            </w:r>
            <w:r>
              <w:rPr>
                <w:rFonts w:ascii="Times New Roman" w:eastAsia="Calibri" w:hAnsi="Times New Roman"/>
                <w:sz w:val="26"/>
                <w:szCs w:val="26"/>
              </w:rPr>
              <w:t>00 ha do H</w:t>
            </w:r>
            <w:r>
              <w:rPr>
                <w:rFonts w:ascii="Times New Roman" w:eastAsia="Calibri" w:hAnsi="Times New Roman"/>
                <w:sz w:val="26"/>
                <w:szCs w:val="26"/>
              </w:rPr>
              <w:t>ộ</w:t>
            </w:r>
            <w:r>
              <w:rPr>
                <w:rFonts w:ascii="Times New Roman" w:eastAsia="Calibri" w:hAnsi="Times New Roman"/>
                <w:sz w:val="26"/>
                <w:szCs w:val="26"/>
              </w:rPr>
              <w:t>i đ</w:t>
            </w:r>
            <w:r>
              <w:rPr>
                <w:rFonts w:ascii="Times New Roman" w:eastAsia="Calibri" w:hAnsi="Times New Roman"/>
                <w:sz w:val="26"/>
                <w:szCs w:val="26"/>
              </w:rPr>
              <w:t>ồ</w:t>
            </w:r>
            <w:r>
              <w:rPr>
                <w:rFonts w:ascii="Times New Roman" w:eastAsia="Calibri" w:hAnsi="Times New Roman"/>
                <w:sz w:val="26"/>
                <w:szCs w:val="26"/>
              </w:rPr>
              <w:t>ng nhân dân Thành ph</w:t>
            </w:r>
            <w:r>
              <w:rPr>
                <w:rFonts w:ascii="Times New Roman" w:eastAsia="Calibri" w:hAnsi="Times New Roman"/>
                <w:sz w:val="26"/>
                <w:szCs w:val="26"/>
              </w:rPr>
              <w:t>ố</w:t>
            </w:r>
            <w:r>
              <w:rPr>
                <w:rFonts w:ascii="Times New Roman" w:eastAsia="Calibri" w:hAnsi="Times New Roman"/>
                <w:sz w:val="26"/>
                <w:szCs w:val="26"/>
              </w:rPr>
              <w:t xml:space="preserve"> quy đ</w:t>
            </w:r>
            <w:r>
              <w:rPr>
                <w:rFonts w:ascii="Times New Roman" w:eastAsia="Calibri" w:hAnsi="Times New Roman"/>
                <w:sz w:val="26"/>
                <w:szCs w:val="26"/>
              </w:rPr>
              <w:t>ị</w:t>
            </w:r>
            <w:r>
              <w:rPr>
                <w:rFonts w:ascii="Times New Roman" w:eastAsia="Calibri" w:hAnsi="Times New Roman"/>
                <w:sz w:val="26"/>
                <w:szCs w:val="26"/>
              </w:rPr>
              <w:t>nh.</w:t>
            </w:r>
          </w:p>
        </w:tc>
        <w:tc>
          <w:tcPr>
            <w:tcW w:w="4111" w:type="dxa"/>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lastRenderedPageBreak/>
              <w:t>Khoản 1, 2, 3 Điều 3 Nghị quyết số 54/2017/QH14:</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1. Hội đồng nhân dân Thành phố quyết định chuyển mục đích sử dụng đất trồng lúa từ 10 ha trở lên phù hợp với quy hoạch, kế hoạch sử dụng đất trồng lúa đã được c</w:t>
            </w:r>
            <w:r>
              <w:rPr>
                <w:rFonts w:ascii="Times New Roman" w:hAnsi="Times New Roman"/>
                <w:bCs/>
                <w:sz w:val="26"/>
                <w:szCs w:val="26"/>
                <w:shd w:val="clear" w:color="auto" w:fill="FFFFFF"/>
                <w:lang w:val="nl-NL"/>
              </w:rPr>
              <w:t>ấp có thẩm quyền quyết định.</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lastRenderedPageBreak/>
              <w:t>2. Việc quyết định chuyển mục đích sử dụng đất trồng lúa quy định tại khoản 1 Điều này phải thực hiện công khai, lấy ý kiến người dân, đối tượng chịu sự tác động của việc chuyển đổi mục đích sử dụng đất theo quy định của pháp l</w:t>
            </w:r>
            <w:r>
              <w:rPr>
                <w:rFonts w:ascii="Times New Roman" w:hAnsi="Times New Roman"/>
                <w:bCs/>
                <w:sz w:val="26"/>
                <w:szCs w:val="26"/>
                <w:shd w:val="clear" w:color="auto" w:fill="FFFFFF"/>
                <w:lang w:val="nl-NL"/>
              </w:rPr>
              <w:t>uật về đất đai.</w:t>
            </w:r>
          </w:p>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3. Trình tự, thủ tục chuyển mục đích sử dụng đất trồng lúa từ 10 ha trở lên quy định tại Điều này được thực hiện như trình tự, thủ tục chuyển mục đích sử dụng đất trồng lúa dưới 10 ha theo quy định của pháp luật về đất đai.</w:t>
            </w:r>
          </w:p>
        </w:tc>
        <w:tc>
          <w:tcPr>
            <w:tcW w:w="3657" w:type="dxa"/>
          </w:tcPr>
          <w:p w:rsidR="0092194C" w:rsidRDefault="0092194C">
            <w:pPr>
              <w:jc w:val="both"/>
              <w:rPr>
                <w:rFonts w:ascii="Times New Roman" w:hAnsi="Times New Roman"/>
                <w:bCs/>
                <w:sz w:val="26"/>
                <w:szCs w:val="26"/>
                <w:shd w:val="clear" w:color="auto" w:fill="FFFFFF"/>
                <w:lang w:val="nl-NL"/>
              </w:rPr>
            </w:pPr>
          </w:p>
        </w:tc>
      </w:tr>
      <w:tr w:rsidR="0092194C">
        <w:trPr>
          <w:trHeight w:val="457"/>
        </w:trPr>
        <w:tc>
          <w:tcPr>
            <w:tcW w:w="564" w:type="dxa"/>
            <w:shd w:val="clear" w:color="auto" w:fill="FFFF00"/>
            <w:vAlign w:val="center"/>
          </w:tcPr>
          <w:p w:rsidR="0092194C" w:rsidRDefault="00EA0B08">
            <w:pPr>
              <w:jc w:val="center"/>
              <w:rPr>
                <w:rFonts w:ascii="Times New Roman" w:hAnsi="Times New Roman"/>
                <w:b/>
                <w:sz w:val="26"/>
                <w:szCs w:val="26"/>
              </w:rPr>
            </w:pPr>
            <w:r>
              <w:rPr>
                <w:rFonts w:ascii="Times New Roman" w:hAnsi="Times New Roman"/>
                <w:b/>
                <w:sz w:val="26"/>
                <w:szCs w:val="26"/>
              </w:rPr>
              <w:lastRenderedPageBreak/>
              <w:t>3</w:t>
            </w:r>
          </w:p>
        </w:tc>
        <w:tc>
          <w:tcPr>
            <w:tcW w:w="14901" w:type="dxa"/>
            <w:gridSpan w:val="3"/>
            <w:shd w:val="clear" w:color="auto" w:fill="FFFF00"/>
            <w:vAlign w:val="center"/>
          </w:tcPr>
          <w:p w:rsidR="0092194C" w:rsidRDefault="00EA0B08">
            <w:pPr>
              <w:rPr>
                <w:rFonts w:ascii="Times New Roman" w:hAnsi="Times New Roman"/>
                <w:b/>
                <w:sz w:val="26"/>
                <w:szCs w:val="26"/>
              </w:rPr>
            </w:pPr>
            <w:r>
              <w:rPr>
                <w:rFonts w:ascii="Times New Roman" w:hAnsi="Times New Roman"/>
                <w:b/>
                <w:sz w:val="26"/>
                <w:szCs w:val="26"/>
              </w:rPr>
              <w:t xml:space="preserve">Điều 9. </w:t>
            </w:r>
            <w:r>
              <w:rPr>
                <w:rFonts w:ascii="Times New Roman" w:hAnsi="Times New Roman"/>
                <w:b/>
                <w:bCs/>
                <w:sz w:val="26"/>
                <w:szCs w:val="26"/>
                <w:lang w:val="nl-NL"/>
              </w:rPr>
              <w:t xml:space="preserve">Về </w:t>
            </w:r>
            <w:r>
              <w:rPr>
                <w:rFonts w:ascii="Times New Roman" w:hAnsi="Times New Roman"/>
                <w:b/>
                <w:bCs/>
                <w:sz w:val="26"/>
                <w:szCs w:val="26"/>
                <w:lang w:val="nl-NL"/>
              </w:rPr>
              <w:t>tổ chức bộ máy, phân cấp, phân quyền, ủy quyền và cán bộ, công chức, viên chức, người lao động</w:t>
            </w:r>
          </w:p>
        </w:tc>
      </w:tr>
      <w:tr w:rsidR="0092194C">
        <w:trPr>
          <w:trHeight w:val="376"/>
        </w:trPr>
        <w:tc>
          <w:tcPr>
            <w:tcW w:w="564" w:type="dxa"/>
            <w:shd w:val="clear" w:color="auto" w:fill="auto"/>
          </w:tcPr>
          <w:p w:rsidR="0092194C" w:rsidRDefault="00EA0B08">
            <w:pPr>
              <w:jc w:val="center"/>
              <w:rPr>
                <w:rFonts w:ascii="Times New Roman" w:hAnsi="Times New Roman"/>
                <w:b/>
                <w:sz w:val="26"/>
                <w:szCs w:val="26"/>
                <w:lang w:val="nl-NL"/>
              </w:rPr>
            </w:pPr>
            <w:r>
              <w:rPr>
                <w:rFonts w:ascii="Times New Roman" w:hAnsi="Times New Roman"/>
                <w:b/>
                <w:sz w:val="26"/>
                <w:szCs w:val="26"/>
                <w:lang w:val="nl-NL"/>
              </w:rPr>
              <w:t>3.1</w:t>
            </w:r>
          </w:p>
        </w:tc>
        <w:tc>
          <w:tcPr>
            <w:tcW w:w="7133" w:type="dxa"/>
            <w:shd w:val="clear" w:color="auto" w:fill="auto"/>
          </w:tcPr>
          <w:p w:rsidR="0092194C" w:rsidRDefault="00EA0B08">
            <w:pPr>
              <w:pStyle w:val="ListParagraph"/>
              <w:tabs>
                <w:tab w:val="left" w:pos="993"/>
              </w:tabs>
              <w:ind w:left="0"/>
              <w:jc w:val="both"/>
              <w:rPr>
                <w:rFonts w:ascii="Times New Roman" w:hAnsi="Times New Roman"/>
                <w:b/>
                <w:sz w:val="26"/>
                <w:szCs w:val="26"/>
                <w:lang w:val="vi-VN"/>
              </w:rPr>
            </w:pPr>
            <w:r>
              <w:rPr>
                <w:rFonts w:ascii="Times New Roman" w:hAnsi="Times New Roman"/>
                <w:b/>
                <w:sz w:val="26"/>
                <w:szCs w:val="26"/>
                <w:lang w:val="nl-NL"/>
              </w:rPr>
              <w:t>Điểm b Khoản 2</w:t>
            </w:r>
            <w:r>
              <w:rPr>
                <w:rFonts w:ascii="Times New Roman" w:hAnsi="Times New Roman"/>
                <w:b/>
                <w:sz w:val="26"/>
                <w:szCs w:val="26"/>
                <w:lang w:val="vi-VN"/>
              </w:rPr>
              <w:t xml:space="preserve"> Điều </w:t>
            </w:r>
            <w:r>
              <w:rPr>
                <w:rFonts w:ascii="Times New Roman" w:hAnsi="Times New Roman"/>
                <w:b/>
                <w:sz w:val="26"/>
                <w:szCs w:val="26"/>
              </w:rPr>
              <w:t>9</w:t>
            </w:r>
            <w:r>
              <w:rPr>
                <w:rFonts w:ascii="Times New Roman" w:hAnsi="Times New Roman"/>
                <w:b/>
                <w:sz w:val="26"/>
                <w:szCs w:val="26"/>
                <w:lang w:val="vi-VN"/>
              </w:rPr>
              <w:t>:</w:t>
            </w:r>
          </w:p>
          <w:p w:rsidR="0092194C" w:rsidRDefault="00EA0B08">
            <w:pPr>
              <w:pStyle w:val="ListParagraph"/>
              <w:tabs>
                <w:tab w:val="left" w:pos="993"/>
              </w:tabs>
              <w:ind w:left="0"/>
              <w:jc w:val="both"/>
              <w:rPr>
                <w:rFonts w:ascii="Times New Roman" w:hAnsi="Times New Roman"/>
                <w:bCs/>
                <w:sz w:val="26"/>
                <w:szCs w:val="26"/>
                <w:lang w:val="nl-NL"/>
              </w:rPr>
            </w:pPr>
            <w:r>
              <w:rPr>
                <w:rFonts w:ascii="Times New Roman" w:hAnsi="Times New Roman"/>
                <w:bCs/>
                <w:sz w:val="26"/>
                <w:szCs w:val="26"/>
              </w:rPr>
              <w:t xml:space="preserve">Quyết định bố trí ngân sách Thành phố để chi thu nhập bình quân tăng thêm cho cán bộ, công chức, viên chức, người lao động thuộc khu </w:t>
            </w:r>
            <w:r>
              <w:rPr>
                <w:rFonts w:ascii="Times New Roman" w:hAnsi="Times New Roman"/>
                <w:bCs/>
                <w:sz w:val="26"/>
                <w:szCs w:val="26"/>
              </w:rPr>
              <w:t>vực quản lý nhà nước, tổ chức chính trị, tổ chức chính trị - xã hội, tổ chức xã hội – nghề nghiệp, đơn vị sự nghiệp công lập và các đối tượng khác do Thành phố quản lý theo hiệu quả công việc ngoài việc thực hiện chi trả thu nhập tăng thêm theo quy định củ</w:t>
            </w:r>
            <w:r>
              <w:rPr>
                <w:rFonts w:ascii="Times New Roman" w:hAnsi="Times New Roman"/>
                <w:bCs/>
                <w:sz w:val="26"/>
                <w:szCs w:val="26"/>
              </w:rPr>
              <w:t>a pháp luật hiện hành về cơ chế tự chủ tài chính đối với cơ quan hành chính, đơn vị sự nghiệp công lập, với mức không quá 1,8 lần mức lương ngạch bậc, chức vụ</w:t>
            </w:r>
            <w:r>
              <w:rPr>
                <w:rFonts w:ascii="Times New Roman" w:hAnsi="Times New Roman"/>
                <w:bCs/>
                <w:sz w:val="26"/>
                <w:szCs w:val="26"/>
                <w:lang w:val="nl-NL"/>
              </w:rPr>
              <w:t>.</w:t>
            </w:r>
          </w:p>
          <w:p w:rsidR="0092194C" w:rsidRDefault="00EA0B08">
            <w:pPr>
              <w:pStyle w:val="ListParagraph"/>
              <w:tabs>
                <w:tab w:val="left" w:pos="993"/>
              </w:tabs>
              <w:ind w:left="0"/>
              <w:jc w:val="both"/>
              <w:rPr>
                <w:rFonts w:ascii="Times New Roman" w:hAnsi="Times New Roman"/>
                <w:b/>
                <w:bCs/>
                <w:sz w:val="26"/>
                <w:szCs w:val="26"/>
                <w:lang w:val="nl-NL"/>
              </w:rPr>
            </w:pPr>
            <w:r>
              <w:rPr>
                <w:rFonts w:ascii="Times New Roman" w:hAnsi="Times New Roman"/>
                <w:b/>
                <w:bCs/>
                <w:sz w:val="26"/>
                <w:szCs w:val="26"/>
                <w:lang w:val="nl-NL"/>
              </w:rPr>
              <w:lastRenderedPageBreak/>
              <w:t xml:space="preserve">Điểm c Khoản 2 Điều 9: </w:t>
            </w:r>
          </w:p>
          <w:p w:rsidR="0092194C" w:rsidRDefault="00EA0B08">
            <w:pPr>
              <w:pStyle w:val="ListParagraph"/>
              <w:tabs>
                <w:tab w:val="left" w:pos="993"/>
              </w:tabs>
              <w:ind w:left="0"/>
              <w:jc w:val="both"/>
              <w:rPr>
                <w:rFonts w:ascii="Times New Roman" w:hAnsi="Times New Roman"/>
                <w:b/>
                <w:i/>
                <w:sz w:val="26"/>
                <w:szCs w:val="26"/>
                <w:lang w:val="nl-NL"/>
              </w:rPr>
            </w:pPr>
            <w:r>
              <w:rPr>
                <w:rFonts w:ascii="Times New Roman" w:hAnsi="Times New Roman"/>
                <w:iCs/>
                <w:sz w:val="26"/>
                <w:szCs w:val="26"/>
              </w:rPr>
              <w:t>Quyết định mức thu nhập cho các chuyên gia, nhà khoa học, tài năng đặc b</w:t>
            </w:r>
            <w:r>
              <w:rPr>
                <w:rFonts w:ascii="Times New Roman" w:hAnsi="Times New Roman"/>
                <w:iCs/>
                <w:sz w:val="26"/>
                <w:szCs w:val="26"/>
              </w:rPr>
              <w:t>iệt của Thành phố; Quyết định về nguyên tắc, tiêu chuẩn, điều kiện, quy trình, mức thu nhập và các chính sách khác để tuyển dụng công chức, viên chức từ nguồn sinh viên tốt nghiệp xuất sắc, người có trình độ cao phù hợp với nhu cầu tuyển dụng của Thành phố</w:t>
            </w:r>
            <w:r>
              <w:rPr>
                <w:rFonts w:ascii="Times New Roman" w:hAnsi="Times New Roman"/>
                <w:iCs/>
                <w:sz w:val="26"/>
                <w:szCs w:val="26"/>
              </w:rPr>
              <w:t>.</w:t>
            </w:r>
          </w:p>
        </w:tc>
        <w:tc>
          <w:tcPr>
            <w:tcW w:w="4111" w:type="dxa"/>
            <w:shd w:val="clear" w:color="auto" w:fill="auto"/>
          </w:tcPr>
          <w:p w:rsidR="0092194C" w:rsidRDefault="00EA0B08">
            <w:pPr>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lastRenderedPageBreak/>
              <w:t>Khoản 3 Điều 6 Nghị quyết số 54/2017/QH14</w:t>
            </w:r>
          </w:p>
          <w:p w:rsidR="0092194C" w:rsidRDefault="00EA0B08">
            <w:pPr>
              <w:jc w:val="both"/>
              <w:rPr>
                <w:rFonts w:ascii="Times New Roman" w:hAnsi="Times New Roman"/>
                <w:sz w:val="26"/>
                <w:szCs w:val="26"/>
                <w:lang w:val="nl-NL"/>
              </w:rPr>
            </w:pPr>
            <w:r>
              <w:rPr>
                <w:rFonts w:ascii="Times New Roman" w:hAnsi="Times New Roman"/>
                <w:sz w:val="26"/>
                <w:szCs w:val="26"/>
                <w:lang w:val="nl-NL"/>
              </w:rPr>
              <w:t xml:space="preserve">3. Hội đồng nhân dân Thành phố được quyền quyết định bố trí ngân sách Thành phố để chi thu nhập bình quân tăng thêm cho cán bộ, công chức, viên chức thuộc khu vực quản lý nhà nước, tổ chức chính trị, tổ chức chính trị - xã hội và đơn vị sự nghiệp công lập </w:t>
            </w:r>
            <w:r>
              <w:rPr>
                <w:rFonts w:ascii="Times New Roman" w:hAnsi="Times New Roman"/>
                <w:sz w:val="26"/>
                <w:szCs w:val="26"/>
                <w:lang w:val="nl-NL"/>
              </w:rPr>
              <w:t xml:space="preserve">do Thành phố quản lý theo hiệu quả công việc ngoài việc thực </w:t>
            </w:r>
            <w:r>
              <w:rPr>
                <w:rFonts w:ascii="Times New Roman" w:hAnsi="Times New Roman"/>
                <w:sz w:val="26"/>
                <w:szCs w:val="26"/>
                <w:lang w:val="nl-NL"/>
              </w:rPr>
              <w:lastRenderedPageBreak/>
              <w:t>hiện chi trả thu nhập tăng thêm theo quy định của pháp luật hiện hành về cơ chế tự chủ tài chính đối với cơ quan hành chính, đơn vị sự nghiệp công lập, với mức không quá 1,8 lần mức lương ngạch b</w:t>
            </w:r>
            <w:r>
              <w:rPr>
                <w:rFonts w:ascii="Times New Roman" w:hAnsi="Times New Roman"/>
                <w:sz w:val="26"/>
                <w:szCs w:val="26"/>
                <w:lang w:val="nl-NL"/>
              </w:rPr>
              <w:t>ậc, chức vụ. Mức thu nhập cho các chuyên gia, nhà khoa học, tài năng đặc biệt của Thành phố do Hội đồng nhân dân Thành phố quy định.</w:t>
            </w:r>
          </w:p>
        </w:tc>
        <w:tc>
          <w:tcPr>
            <w:tcW w:w="3657" w:type="dxa"/>
          </w:tcPr>
          <w:p w:rsidR="0092194C" w:rsidRDefault="00EA0B08">
            <w:pPr>
              <w:jc w:val="both"/>
              <w:rPr>
                <w:rFonts w:ascii="Times New Roman" w:hAnsi="Times New Roman"/>
                <w:bCs/>
                <w:sz w:val="26"/>
                <w:szCs w:val="26"/>
                <w:shd w:val="clear" w:color="auto" w:fill="FFFFFF"/>
                <w:lang w:val="nl-NL"/>
              </w:rPr>
            </w:pPr>
            <w:r>
              <w:rPr>
                <w:rFonts w:ascii="Times New Roman" w:hAnsi="Times New Roman"/>
                <w:sz w:val="26"/>
                <w:szCs w:val="26"/>
                <w:lang w:val="nl-NL"/>
              </w:rPr>
              <w:lastRenderedPageBreak/>
              <w:t xml:space="preserve">Có điều chỉnh bổ sung đối tượng: </w:t>
            </w:r>
            <w:r>
              <w:rPr>
                <w:rFonts w:ascii="Times New Roman" w:hAnsi="Times New Roman"/>
                <w:bCs/>
                <w:sz w:val="26"/>
                <w:szCs w:val="26"/>
                <w:lang w:val="nl-NL"/>
              </w:rPr>
              <w:t>người lao động thuộc khu vực quản lý nhà nước, tổ chức chính trị, tổ chức chính trị - xã h</w:t>
            </w:r>
            <w:r>
              <w:rPr>
                <w:rFonts w:ascii="Times New Roman" w:hAnsi="Times New Roman"/>
                <w:bCs/>
                <w:sz w:val="26"/>
                <w:szCs w:val="26"/>
                <w:lang w:val="nl-NL"/>
              </w:rPr>
              <w:t>ội, đơn vị sự nghiệp công lập và các đối tượng khác do Thành phố quản lý</w:t>
            </w:r>
          </w:p>
        </w:tc>
      </w:tr>
      <w:tr w:rsidR="0092194C">
        <w:trPr>
          <w:trHeight w:val="376"/>
        </w:trPr>
        <w:tc>
          <w:tcPr>
            <w:tcW w:w="564" w:type="dxa"/>
            <w:shd w:val="clear" w:color="auto" w:fill="auto"/>
          </w:tcPr>
          <w:p w:rsidR="0092194C" w:rsidRDefault="00EA0B08">
            <w:pPr>
              <w:jc w:val="center"/>
              <w:rPr>
                <w:rFonts w:ascii="Times New Roman" w:hAnsi="Times New Roman"/>
                <w:b/>
                <w:sz w:val="26"/>
                <w:szCs w:val="26"/>
                <w:lang w:val="nl-NL"/>
              </w:rPr>
            </w:pPr>
            <w:r>
              <w:rPr>
                <w:rFonts w:ascii="Times New Roman" w:hAnsi="Times New Roman"/>
                <w:b/>
                <w:sz w:val="26"/>
                <w:szCs w:val="26"/>
                <w:lang w:val="nl-NL"/>
              </w:rPr>
              <w:lastRenderedPageBreak/>
              <w:t>3.2</w:t>
            </w:r>
          </w:p>
        </w:tc>
        <w:tc>
          <w:tcPr>
            <w:tcW w:w="7133" w:type="dxa"/>
            <w:shd w:val="clear" w:color="auto" w:fill="auto"/>
          </w:tcPr>
          <w:p w:rsidR="0092194C" w:rsidRDefault="00EA0B08">
            <w:pPr>
              <w:pStyle w:val="ListParagraph"/>
              <w:tabs>
                <w:tab w:val="left" w:pos="993"/>
              </w:tabs>
              <w:ind w:left="0"/>
              <w:jc w:val="both"/>
              <w:rPr>
                <w:rFonts w:ascii="Times New Roman" w:hAnsi="Times New Roman"/>
                <w:b/>
                <w:bCs/>
                <w:sz w:val="26"/>
                <w:szCs w:val="26"/>
                <w:lang w:val="nl-NL"/>
              </w:rPr>
            </w:pPr>
            <w:r>
              <w:rPr>
                <w:rFonts w:ascii="Times New Roman" w:hAnsi="Times New Roman"/>
                <w:b/>
                <w:bCs/>
                <w:sz w:val="26"/>
                <w:szCs w:val="26"/>
                <w:lang w:val="nl-NL"/>
              </w:rPr>
              <w:t xml:space="preserve">Điểm b Khoản 3 Điều 9: </w:t>
            </w:r>
          </w:p>
          <w:p w:rsidR="0092194C" w:rsidRDefault="00EA0B08">
            <w:pPr>
              <w:pStyle w:val="ListParagraph"/>
              <w:tabs>
                <w:tab w:val="left" w:pos="993"/>
              </w:tabs>
              <w:ind w:left="0"/>
              <w:jc w:val="both"/>
              <w:rPr>
                <w:rFonts w:ascii="Times New Roman" w:hAnsi="Times New Roman"/>
                <w:bCs/>
                <w:sz w:val="26"/>
                <w:szCs w:val="26"/>
                <w:lang w:val="nl-NL"/>
              </w:rPr>
            </w:pPr>
            <w:r>
              <w:rPr>
                <w:rFonts w:ascii="Times New Roman" w:hAnsi="Times New Roman"/>
                <w:bCs/>
                <w:sz w:val="26"/>
                <w:szCs w:val="26"/>
              </w:rPr>
              <w:t>Quyết định việc giao một số chức năng, nhiệm vụ theo quy định của pháp luật thuộc chức năng, nhiệm vụ của các cơ quan chuyên môn thuộc Ủy ban nhân dân</w:t>
            </w:r>
            <w:r>
              <w:rPr>
                <w:rFonts w:ascii="Times New Roman" w:hAnsi="Times New Roman"/>
                <w:bCs/>
                <w:sz w:val="26"/>
                <w:szCs w:val="26"/>
              </w:rPr>
              <w:t xml:space="preserve"> Thành phố cho các cơ quan chuyên môn, cơ quan hành chính khác thuộc Ủy ban nhân dân Thành phố, quận, huyện và thành phố Thủ Đức</w:t>
            </w:r>
            <w:r>
              <w:rPr>
                <w:rFonts w:ascii="Times New Roman" w:hAnsi="Times New Roman"/>
                <w:bCs/>
                <w:sz w:val="26"/>
                <w:szCs w:val="26"/>
                <w:lang w:val="nl-NL"/>
              </w:rPr>
              <w:t>.</w:t>
            </w:r>
          </w:p>
        </w:tc>
        <w:tc>
          <w:tcPr>
            <w:tcW w:w="4111" w:type="dxa"/>
            <w:shd w:val="clear" w:color="auto" w:fill="auto"/>
          </w:tcPr>
          <w:p w:rsidR="0092194C" w:rsidRDefault="00EA0B08">
            <w:pPr>
              <w:pStyle w:val="ListParagraph"/>
              <w:tabs>
                <w:tab w:val="left" w:pos="993"/>
              </w:tabs>
              <w:ind w:left="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Khoản 4 Điều 6 Nghị quyết số 54/2017/QH14:</w:t>
            </w:r>
          </w:p>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sz w:val="26"/>
                <w:szCs w:val="26"/>
                <w:lang w:val="nl-NL"/>
              </w:rPr>
              <w:t>Ủy ban nhân dân Thành phố được quyền điều chỉnh tên gọi, chức năng, nhiệm vụ các ph</w:t>
            </w:r>
            <w:r>
              <w:rPr>
                <w:rFonts w:ascii="Times New Roman" w:hAnsi="Times New Roman"/>
                <w:sz w:val="26"/>
                <w:szCs w:val="26"/>
                <w:lang w:val="nl-NL"/>
              </w:rPr>
              <w:t>òng thuộc các cơ quan chuyên môn thuộc Ủy ban nhân dân Thành phố để phù hợp với đặc điểm của Thành phố.</w:t>
            </w:r>
          </w:p>
        </w:tc>
        <w:tc>
          <w:tcPr>
            <w:tcW w:w="3657" w:type="dxa"/>
          </w:tcPr>
          <w:p w:rsidR="0092194C" w:rsidRDefault="00EA0B08">
            <w:pPr>
              <w:jc w:val="both"/>
              <w:rPr>
                <w:rFonts w:ascii="Times New Roman" w:hAnsi="Times New Roman"/>
                <w:bCs/>
                <w:sz w:val="26"/>
                <w:szCs w:val="26"/>
                <w:lang w:val="nl-NL"/>
              </w:rPr>
            </w:pPr>
            <w:r>
              <w:rPr>
                <w:rFonts w:ascii="Times New Roman" w:hAnsi="Times New Roman"/>
                <w:sz w:val="26"/>
                <w:szCs w:val="26"/>
                <w:lang w:val="nl-NL"/>
              </w:rPr>
              <w:t xml:space="preserve">Mở rộng phạm vi điều chỉnh </w:t>
            </w:r>
            <w:r>
              <w:rPr>
                <w:rFonts w:ascii="Times New Roman" w:hAnsi="Times New Roman"/>
                <w:bCs/>
                <w:sz w:val="26"/>
                <w:szCs w:val="26"/>
                <w:lang w:val="nl-NL"/>
              </w:rPr>
              <w:t xml:space="preserve">chức năng, nhiệm vụ, quyền hạn </w:t>
            </w:r>
            <w:r>
              <w:rPr>
                <w:rFonts w:ascii="Times New Roman" w:hAnsi="Times New Roman"/>
                <w:sz w:val="26"/>
                <w:szCs w:val="26"/>
                <w:lang w:val="nl-NL"/>
              </w:rPr>
              <w:t>cho các cơ quan chuyên môn, cơ quan hành chính khác (thay vì các phòng thuộc các cơ quan chuyê</w:t>
            </w:r>
            <w:r>
              <w:rPr>
                <w:rFonts w:ascii="Times New Roman" w:hAnsi="Times New Roman"/>
                <w:sz w:val="26"/>
                <w:szCs w:val="26"/>
                <w:lang w:val="nl-NL"/>
              </w:rPr>
              <w:t xml:space="preserve">n môn) thuộc </w:t>
            </w:r>
            <w:r>
              <w:rPr>
                <w:rFonts w:ascii="Times New Roman" w:hAnsi="Times New Roman"/>
                <w:bCs/>
                <w:sz w:val="26"/>
                <w:szCs w:val="26"/>
                <w:lang w:val="nl-NL"/>
              </w:rPr>
              <w:t>Ủy ban nhân dân Thành phố.</w:t>
            </w:r>
          </w:p>
          <w:p w:rsidR="0092194C" w:rsidRDefault="00EA0B08">
            <w:pPr>
              <w:jc w:val="both"/>
              <w:rPr>
                <w:rFonts w:ascii="Times New Roman" w:hAnsi="Times New Roman"/>
                <w:sz w:val="26"/>
                <w:szCs w:val="26"/>
                <w:lang w:val="nl-NL"/>
              </w:rPr>
            </w:pPr>
            <w:r>
              <w:rPr>
                <w:rFonts w:ascii="Times New Roman" w:hAnsi="Times New Roman"/>
                <w:bCs/>
                <w:sz w:val="26"/>
                <w:szCs w:val="26"/>
                <w:lang w:val="nl-NL"/>
              </w:rPr>
              <w:t>Bổ sung đối tượng là các cơ quan chuyên môn, các tổ chức hành chính khác thuộc Ủy ban nhân dân quận, huyện.</w:t>
            </w:r>
          </w:p>
        </w:tc>
      </w:tr>
      <w:tr w:rsidR="0092194C">
        <w:trPr>
          <w:trHeight w:val="376"/>
        </w:trPr>
        <w:tc>
          <w:tcPr>
            <w:tcW w:w="564" w:type="dxa"/>
            <w:shd w:val="clear" w:color="auto" w:fill="auto"/>
          </w:tcPr>
          <w:p w:rsidR="0092194C" w:rsidRDefault="00EA0B08">
            <w:pPr>
              <w:jc w:val="center"/>
              <w:rPr>
                <w:rFonts w:ascii="Times New Roman" w:hAnsi="Times New Roman"/>
                <w:b/>
                <w:sz w:val="26"/>
                <w:szCs w:val="26"/>
                <w:lang w:val="nl-NL"/>
              </w:rPr>
            </w:pPr>
            <w:r>
              <w:rPr>
                <w:rFonts w:ascii="Times New Roman" w:hAnsi="Times New Roman"/>
                <w:b/>
                <w:sz w:val="26"/>
                <w:szCs w:val="26"/>
                <w:lang w:val="nl-NL"/>
              </w:rPr>
              <w:t>3.3</w:t>
            </w:r>
          </w:p>
        </w:tc>
        <w:tc>
          <w:tcPr>
            <w:tcW w:w="7133" w:type="dxa"/>
            <w:shd w:val="clear" w:color="auto" w:fill="auto"/>
          </w:tcPr>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b/>
                <w:bCs/>
                <w:sz w:val="26"/>
                <w:szCs w:val="26"/>
                <w:lang w:val="nl-NL"/>
              </w:rPr>
              <w:t xml:space="preserve">Khoản 4 Điều 9: </w:t>
            </w:r>
            <w:r>
              <w:rPr>
                <w:rFonts w:ascii="Times New Roman" w:hAnsi="Times New Roman"/>
                <w:bCs/>
                <w:sz w:val="26"/>
                <w:szCs w:val="26"/>
              </w:rPr>
              <w:t xml:space="preserve">Chủ tịch Ủy ban nhân dân Thành phố được ủy quyền cho người đứng đầu cơ quan hành chính </w:t>
            </w:r>
            <w:r>
              <w:rPr>
                <w:rFonts w:ascii="Times New Roman" w:hAnsi="Times New Roman"/>
                <w:bCs/>
                <w:sz w:val="26"/>
                <w:szCs w:val="26"/>
              </w:rPr>
              <w:t xml:space="preserve">khác thuộc Ủy ban nhân dân Thành phố, người đứng đầu đơn vị sự nghiệp công lập thuộc Ủy ban nhân dân Thành phố thực hiện một hoặc một số </w:t>
            </w:r>
            <w:r>
              <w:rPr>
                <w:rFonts w:ascii="Times New Roman" w:hAnsi="Times New Roman"/>
                <w:bCs/>
                <w:sz w:val="26"/>
                <w:szCs w:val="26"/>
              </w:rPr>
              <w:lastRenderedPageBreak/>
              <w:t>nhiệm vụ, quyền hạn của mình trong khoảng thời gian xác định kèm theo các điều kiện cụ thể. Việc ủy quyền phải được thể</w:t>
            </w:r>
            <w:r>
              <w:rPr>
                <w:rFonts w:ascii="Times New Roman" w:hAnsi="Times New Roman"/>
                <w:bCs/>
                <w:sz w:val="26"/>
                <w:szCs w:val="26"/>
              </w:rPr>
              <w:t xml:space="preserve"> hiện bằng văn bản</w:t>
            </w:r>
            <w:r>
              <w:rPr>
                <w:rFonts w:ascii="Times New Roman" w:hAnsi="Times New Roman"/>
                <w:bCs/>
                <w:sz w:val="26"/>
                <w:szCs w:val="26"/>
                <w:lang w:val="nl-NL"/>
              </w:rPr>
              <w:t>;</w:t>
            </w:r>
          </w:p>
        </w:tc>
        <w:tc>
          <w:tcPr>
            <w:tcW w:w="4111" w:type="dxa"/>
            <w:shd w:val="clear" w:color="auto" w:fill="auto"/>
          </w:tcPr>
          <w:p w:rsidR="0092194C" w:rsidRDefault="00EA0B08">
            <w:pPr>
              <w:pStyle w:val="ListParagraph"/>
              <w:tabs>
                <w:tab w:val="left" w:pos="993"/>
              </w:tabs>
              <w:ind w:left="0"/>
              <w:jc w:val="both"/>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lastRenderedPageBreak/>
              <w:t>Khoản 1 Điều 6 Nghị quyết số 54/2017/QH14:</w:t>
            </w:r>
          </w:p>
          <w:p w:rsidR="0092194C" w:rsidRDefault="00EA0B08">
            <w:pPr>
              <w:pStyle w:val="ListParagraph"/>
              <w:tabs>
                <w:tab w:val="left" w:pos="993"/>
              </w:tabs>
              <w:ind w:left="0"/>
              <w:jc w:val="both"/>
              <w:rPr>
                <w:rFonts w:ascii="Times New Roman" w:hAnsi="Times New Roman"/>
                <w:sz w:val="26"/>
                <w:szCs w:val="26"/>
                <w:lang w:val="nl-NL"/>
              </w:rPr>
            </w:pPr>
            <w:r>
              <w:rPr>
                <w:rFonts w:ascii="Times New Roman" w:hAnsi="Times New Roman"/>
                <w:sz w:val="26"/>
                <w:szCs w:val="26"/>
                <w:lang w:val="nl-NL"/>
              </w:rPr>
              <w:t xml:space="preserve">1. Chủ tịch Ủy ban nhân dân Thành phố được ủy quyền cho Chủ tịch Ủy </w:t>
            </w:r>
            <w:r>
              <w:rPr>
                <w:rFonts w:ascii="Times New Roman" w:hAnsi="Times New Roman"/>
                <w:sz w:val="26"/>
                <w:szCs w:val="26"/>
                <w:lang w:val="nl-NL"/>
              </w:rPr>
              <w:lastRenderedPageBreak/>
              <w:t>ban nhân dân cấp huyện thực hiện một số nhiệm vụ, quyền hạn của Chủ tịch Ủy ban nhân dân Thành phố.</w:t>
            </w:r>
          </w:p>
        </w:tc>
        <w:tc>
          <w:tcPr>
            <w:tcW w:w="3657" w:type="dxa"/>
          </w:tcPr>
          <w:p w:rsidR="0092194C" w:rsidRDefault="00EA0B08">
            <w:pPr>
              <w:jc w:val="both"/>
              <w:rPr>
                <w:rFonts w:ascii="Times New Roman" w:hAnsi="Times New Roman"/>
                <w:sz w:val="26"/>
                <w:szCs w:val="26"/>
                <w:lang w:val="nl-NL"/>
              </w:rPr>
            </w:pPr>
            <w:r>
              <w:rPr>
                <w:rFonts w:ascii="Times New Roman" w:hAnsi="Times New Roman"/>
                <w:sz w:val="26"/>
                <w:szCs w:val="26"/>
                <w:lang w:val="nl-NL"/>
              </w:rPr>
              <w:lastRenderedPageBreak/>
              <w:t xml:space="preserve">Mở rộng phạm vi ủy quyền </w:t>
            </w:r>
            <w:r>
              <w:rPr>
                <w:rFonts w:ascii="Times New Roman" w:hAnsi="Times New Roman"/>
                <w:sz w:val="26"/>
                <w:szCs w:val="26"/>
                <w:lang w:val="nl-NL"/>
              </w:rPr>
              <w:t>cho một số người đứng đầu cơ quan khác</w:t>
            </w:r>
          </w:p>
        </w:tc>
      </w:tr>
    </w:tbl>
    <w:p w:rsidR="0092194C" w:rsidRDefault="0092194C">
      <w:pPr>
        <w:jc w:val="both"/>
        <w:rPr>
          <w:rFonts w:ascii="Times New Roman" w:hAnsi="Times New Roman"/>
          <w:b/>
          <w:sz w:val="24"/>
          <w:szCs w:val="24"/>
          <w:u w:val="single"/>
          <w:lang w:val="nl-NL"/>
        </w:rPr>
      </w:pPr>
    </w:p>
    <w:sectPr w:rsidR="0092194C">
      <w:headerReference w:type="default" r:id="rId8"/>
      <w:footerReference w:type="even" r:id="rId9"/>
      <w:footerReference w:type="default" r:id="rId10"/>
      <w:pgSz w:w="16840" w:h="11907" w:orient="landscape" w:code="9"/>
      <w:pgMar w:top="510" w:right="794" w:bottom="425"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08" w:rsidRDefault="00EA0B08">
      <w:pPr>
        <w:spacing w:before="0" w:after="0"/>
      </w:pPr>
      <w:r>
        <w:separator/>
      </w:r>
    </w:p>
  </w:endnote>
  <w:endnote w:type="continuationSeparator" w:id="0">
    <w:p w:rsidR="00EA0B08" w:rsidRDefault="00EA0B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Centur">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4C" w:rsidRDefault="00EA0B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94C" w:rsidRDefault="0092194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4C" w:rsidRDefault="0092194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08" w:rsidRDefault="00EA0B08">
      <w:pPr>
        <w:spacing w:before="0" w:after="0"/>
      </w:pPr>
      <w:r>
        <w:separator/>
      </w:r>
    </w:p>
  </w:footnote>
  <w:footnote w:type="continuationSeparator" w:id="0">
    <w:p w:rsidR="00EA0B08" w:rsidRDefault="00EA0B0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4C" w:rsidRDefault="00EA0B08">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4637D">
      <w:rPr>
        <w:rFonts w:ascii="Times New Roman" w:hAnsi="Times New Roman"/>
        <w:noProof/>
      </w:rPr>
      <w:t>2</w:t>
    </w:r>
    <w:r>
      <w:rPr>
        <w:rFonts w:ascii="Times New Roman" w:hAnsi="Times New Roman"/>
        <w:noProof/>
      </w:rPr>
      <w:fldChar w:fldCharType="end"/>
    </w:r>
  </w:p>
  <w:p w:rsidR="0092194C" w:rsidRDefault="009219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5EE86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0000001"/>
    <w:multiLevelType w:val="hybridMultilevel"/>
    <w:tmpl w:val="8124BDC0"/>
    <w:lvl w:ilvl="0" w:tplc="F34662E4">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2"/>
    <w:multiLevelType w:val="hybridMultilevel"/>
    <w:tmpl w:val="FCA61826"/>
    <w:lvl w:ilvl="0" w:tplc="D9F87E98">
      <w:start w:val="1"/>
      <w:numFmt w:val="decimal"/>
      <w:lvlText w:val="%1."/>
      <w:lvlJc w:val="left"/>
      <w:pPr>
        <w:ind w:left="1353" w:hanging="360"/>
      </w:pPr>
      <w:rPr>
        <w:rFonts w:ascii="Times New Roman" w:hAnsi="Times New Roman" w:cs="Times New Roman" w:hint="default"/>
        <w:i w:val="0"/>
        <w:sz w:val="28"/>
        <w:szCs w:val="2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 w15:restartNumberingAfterBreak="0">
    <w:nsid w:val="00000003"/>
    <w:multiLevelType w:val="hybridMultilevel"/>
    <w:tmpl w:val="D30AD1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4"/>
    <w:multiLevelType w:val="hybridMultilevel"/>
    <w:tmpl w:val="17A6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6"/>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7"/>
    <w:multiLevelType w:val="hybridMultilevel"/>
    <w:tmpl w:val="8F3A1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9"/>
    <w:multiLevelType w:val="hybridMultilevel"/>
    <w:tmpl w:val="57B41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0000000A"/>
    <w:multiLevelType w:val="hybridMultilevel"/>
    <w:tmpl w:val="BC6E7CF8"/>
    <w:lvl w:ilvl="0" w:tplc="AEB26CD6">
      <w:start w:val="1"/>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2F5C3B3C"/>
    <w:lvl w:ilvl="0" w:tplc="1188D4E0">
      <w:start w:val="2"/>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15:restartNumberingAfterBreak="0">
    <w:nsid w:val="0000000C"/>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00000D"/>
    <w:multiLevelType w:val="hybridMultilevel"/>
    <w:tmpl w:val="0854F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5D4EFB42"/>
    <w:lvl w:ilvl="0" w:tplc="2C8425B0">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8"/>
  </w:num>
  <w:num w:numId="5">
    <w:abstractNumId w:val="9"/>
  </w:num>
  <w:num w:numId="6">
    <w:abstractNumId w:val="6"/>
  </w:num>
  <w:num w:numId="7">
    <w:abstractNumId w:val="4"/>
  </w:num>
  <w:num w:numId="8">
    <w:abstractNumId w:val="10"/>
  </w:num>
  <w:num w:numId="9">
    <w:abstractNumId w:val="7"/>
  </w:num>
  <w:num w:numId="10">
    <w:abstractNumId w:val="13"/>
  </w:num>
  <w:num w:numId="11">
    <w:abstractNumId w:val="0"/>
  </w:num>
  <w:num w:numId="12">
    <w:abstractNumId w:val="2"/>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4C"/>
    <w:rsid w:val="0004637D"/>
    <w:rsid w:val="0092194C"/>
    <w:rsid w:val="00EA0B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4DAC99-31F5-422C-AEF5-4F76276D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pPr>
      <w:tabs>
        <w:tab w:val="left" w:pos="1152"/>
      </w:tabs>
      <w:spacing w:line="312" w:lineRule="auto"/>
    </w:pPr>
    <w:rPr>
      <w:rFonts w:ascii="Arial" w:hAnsi="Arial" w:cs="Arial"/>
      <w:sz w:val="26"/>
      <w:szCs w:val="26"/>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link w:val="ListParagraphChar"/>
    <w:qFormat/>
    <w:pPr>
      <w:ind w:left="720"/>
    </w:p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Arial" w:hAnsi="Arial"/>
    </w:rPr>
  </w:style>
  <w:style w:type="character" w:styleId="Hyperlink">
    <w:name w:val="Hyperlink"/>
    <w:uiPriority w:val="99"/>
    <w:rPr>
      <w:color w:val="0000FF"/>
      <w:u w:val="single"/>
    </w:rPr>
  </w:style>
  <w:style w:type="paragraph" w:customStyle="1" w:styleId="Char4">
    <w:name w:val="Char4"/>
    <w:basedOn w:val="Normal"/>
    <w:pPr>
      <w:spacing w:after="160" w:line="240" w:lineRule="exact"/>
    </w:pPr>
    <w:rPr>
      <w:rFonts w:cs="Arial"/>
      <w:sz w:val="22"/>
      <w:szCs w:val="22"/>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200" w:line="261" w:lineRule="auto"/>
      <w:ind w:firstLine="400"/>
    </w:pPr>
    <w:rPr>
      <w:rFonts w:ascii="Times New Roman" w:hAnsi="Times New Roman"/>
      <w:sz w:val="26"/>
      <w:szCs w:val="26"/>
    </w:rPr>
  </w:style>
  <w:style w:type="paragraph" w:styleId="BodyTextIndent">
    <w:name w:val="Body Text Indent"/>
    <w:basedOn w:val="Normal"/>
    <w:link w:val="BodyTextIndentChar"/>
    <w:pPr>
      <w:ind w:left="283"/>
    </w:pPr>
    <w:rPr>
      <w:rFonts w:ascii="Times New Roman" w:hAnsi="Times New Roman"/>
      <w:sz w:val="28"/>
      <w:szCs w:val="28"/>
    </w:rPr>
  </w:style>
  <w:style w:type="character" w:customStyle="1" w:styleId="BodyTextIndentChar">
    <w:name w:val="Body Text Indent Char"/>
    <w:link w:val="BodyTextIndent"/>
    <w:rPr>
      <w:sz w:val="28"/>
      <w:szCs w:val="28"/>
    </w:rPr>
  </w:style>
  <w:style w:type="character" w:styleId="FootnoteReference">
    <w:name w:val="footnote reference"/>
    <w:rPr>
      <w:vertAlign w:val="superscript"/>
    </w:rPr>
  </w:style>
  <w:style w:type="paragraph" w:styleId="FootnoteText">
    <w:name w:val="footnote text"/>
    <w:basedOn w:val="Normal"/>
    <w:link w:val="FootnoteTextChar"/>
    <w:rPr>
      <w:rFonts w:ascii="Times New Roman" w:hAnsi="Times New Roman"/>
    </w:rPr>
  </w:style>
  <w:style w:type="character" w:customStyle="1" w:styleId="FootnoteTextChar">
    <w:name w:val="Footnote Text Char"/>
    <w:basedOn w:val="DefaultParagraphFont"/>
    <w:link w:val="FootnoteText"/>
  </w:style>
  <w:style w:type="table" w:styleId="TableGrid">
    <w:name w:val="Table Grid"/>
    <w:basedOn w:val="TableNormal"/>
    <w:rPr>
      <w:rFonts w:ascii="VNI-Centur" w:hAnsi="VNI-Centur" w:cs="VNI-Cent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rPr>
      <w:rFonts w:ascii="Arial" w:hAnsi="Arial"/>
    </w:rPr>
  </w:style>
  <w:style w:type="paragraph" w:styleId="BodyText2">
    <w:name w:val="Body Text 2"/>
    <w:basedOn w:val="Normal"/>
    <w:link w:val="BodyText2Char"/>
    <w:uiPriority w:val="99"/>
    <w:pPr>
      <w:spacing w:line="480" w:lineRule="auto"/>
    </w:pPr>
    <w:rPr>
      <w:rFonts w:ascii="Calibri" w:eastAsia="SimSun" w:hAnsi="Calibri"/>
      <w:sz w:val="22"/>
      <w:szCs w:val="22"/>
      <w:lang w:eastAsia="zh-CN"/>
    </w:rPr>
  </w:style>
  <w:style w:type="character" w:customStyle="1" w:styleId="BodyText2Char">
    <w:name w:val="Body Text 2 Char"/>
    <w:link w:val="BodyText2"/>
    <w:uiPriority w:val="99"/>
    <w:rPr>
      <w:rFonts w:ascii="Calibri" w:eastAsia="SimSun" w:hAnsi="Calibri"/>
      <w:sz w:val="22"/>
      <w:szCs w:val="22"/>
      <w:lang w:eastAsia="zh-CN"/>
    </w:rPr>
  </w:style>
  <w:style w:type="paragraph" w:styleId="BodyText">
    <w:name w:val="Body Text"/>
    <w:basedOn w:val="Normal"/>
    <w:link w:val="BodyTextChar"/>
  </w:style>
  <w:style w:type="character" w:customStyle="1" w:styleId="BodyTextChar">
    <w:name w:val="Body Text Char"/>
    <w:link w:val="BodyTex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DF08-19E0-4945-924E-F7BA70B3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2149</Words>
  <Characters>12250</Characters>
  <Application>Microsoft Office Word</Application>
  <DocSecurity>0</DocSecurity>
  <Lines>102</Lines>
  <Paragraphs>28</Paragraphs>
  <ScaleCrop>false</ScaleCrop>
  <Company>VN</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THÀNH PHỐ HỒ CHÍ MINH</dc:title>
  <dc:creator>Admin</dc:creator>
  <cp:lastModifiedBy>Admin</cp:lastModifiedBy>
  <cp:revision>3</cp:revision>
  <cp:lastPrinted>2023-02-21T14:01:00Z</cp:lastPrinted>
  <dcterms:created xsi:type="dcterms:W3CDTF">2023-02-21T13:22:00Z</dcterms:created>
  <dcterms:modified xsi:type="dcterms:W3CDTF">2023-02-21T14:02:00Z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8157916b236041e3a661fb6a19389b21</vt:lpwstr>
  </property>
</Properties>
</file>