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E1" w:rsidRDefault="00561FE1" w:rsidP="0058105C">
      <w:pPr>
        <w:pStyle w:val="Heading5"/>
        <w:spacing w:after="0"/>
        <w:jc w:val="center"/>
        <w:rPr>
          <w:rFonts w:eastAsia="Calibri"/>
          <w:sz w:val="28"/>
          <w:szCs w:val="28"/>
          <w:lang w:val="en-US"/>
        </w:rPr>
      </w:pPr>
      <w:bookmarkStart w:id="0" w:name="_GoBack"/>
      <w:bookmarkEnd w:id="0"/>
      <w:r w:rsidRPr="0058105C">
        <w:rPr>
          <w:rFonts w:eastAsia="Calibri"/>
          <w:sz w:val="28"/>
          <w:szCs w:val="28"/>
          <w:lang w:val="en-US"/>
        </w:rPr>
        <w:t>PHỤ LỤC 1</w:t>
      </w:r>
    </w:p>
    <w:p w:rsidR="00715DF4" w:rsidRPr="00715DF4" w:rsidRDefault="00715DF4" w:rsidP="00715DF4"/>
    <w:p w:rsidR="0058105C" w:rsidRPr="00715DF4" w:rsidRDefault="0058105C" w:rsidP="0058105C">
      <w:pPr>
        <w:jc w:val="center"/>
        <w:rPr>
          <w:b/>
          <w:sz w:val="28"/>
        </w:rPr>
      </w:pPr>
      <w:r w:rsidRPr="00715DF4">
        <w:rPr>
          <w:b/>
          <w:sz w:val="28"/>
        </w:rPr>
        <w:t xml:space="preserve">BẢN DỊCH QUY ĐỊNH </w:t>
      </w:r>
      <w:r w:rsidR="006936FA">
        <w:rPr>
          <w:b/>
          <w:sz w:val="28"/>
        </w:rPr>
        <w:t xml:space="preserve">LIÊN QUAN </w:t>
      </w:r>
      <w:r w:rsidRPr="00715DF4">
        <w:rPr>
          <w:b/>
          <w:sz w:val="28"/>
        </w:rPr>
        <w:t>CỦA HIỆP ĐỊNH EVIPA</w:t>
      </w:r>
    </w:p>
    <w:p w:rsidR="0058105C" w:rsidRDefault="00FE2BC3" w:rsidP="00715DF4">
      <w:pPr>
        <w:jc w:val="center"/>
      </w:pPr>
      <w:r>
        <w:rPr>
          <w:i/>
          <w:spacing w:val="-2"/>
          <w:sz w:val="28"/>
          <w:szCs w:val="28"/>
          <w:lang w:val="nl-NL"/>
        </w:rPr>
        <w:t xml:space="preserve"> </w:t>
      </w:r>
    </w:p>
    <w:p w:rsidR="0058105C" w:rsidRPr="0058105C" w:rsidRDefault="0058105C" w:rsidP="0058105C"/>
    <w:p w:rsidR="003B672B" w:rsidRPr="003B672B" w:rsidRDefault="003B672B" w:rsidP="003B672B">
      <w:pPr>
        <w:pStyle w:val="Heading5"/>
        <w:spacing w:after="0"/>
        <w:jc w:val="center"/>
        <w:rPr>
          <w:sz w:val="28"/>
          <w:szCs w:val="28"/>
          <w:lang w:val="en-US"/>
        </w:rPr>
      </w:pPr>
      <w:r w:rsidRPr="003B672B">
        <w:rPr>
          <w:rFonts w:eastAsia="Calibri"/>
          <w:b w:val="0"/>
          <w:sz w:val="28"/>
          <w:szCs w:val="28"/>
          <w:lang w:val="en-US"/>
        </w:rPr>
        <w:t>Điều 3.57</w:t>
      </w:r>
      <w:r w:rsidR="00CE35C3">
        <w:rPr>
          <w:rFonts w:eastAsia="Calibri"/>
          <w:b w:val="0"/>
          <w:sz w:val="28"/>
          <w:szCs w:val="28"/>
          <w:lang w:val="en-US"/>
        </w:rPr>
        <w:t xml:space="preserve"> </w:t>
      </w:r>
    </w:p>
    <w:p w:rsidR="003B672B" w:rsidRPr="003B672B" w:rsidRDefault="003B672B" w:rsidP="003B672B">
      <w:pPr>
        <w:pStyle w:val="Heading5"/>
        <w:spacing w:after="0"/>
        <w:jc w:val="center"/>
        <w:rPr>
          <w:sz w:val="28"/>
          <w:szCs w:val="28"/>
          <w:lang w:val="en-US"/>
        </w:rPr>
      </w:pPr>
      <w:r w:rsidRPr="003B672B">
        <w:rPr>
          <w:rFonts w:eastAsia="Calibri"/>
          <w:sz w:val="28"/>
          <w:szCs w:val="28"/>
          <w:lang w:val="en-US"/>
        </w:rPr>
        <w:t>Thi hành phán quyết chung thẩm</w:t>
      </w:r>
    </w:p>
    <w:p w:rsidR="003B672B" w:rsidRPr="003B672B" w:rsidRDefault="003B672B" w:rsidP="003B672B">
      <w:pPr>
        <w:pStyle w:val="Style2"/>
        <w:rPr>
          <w:sz w:val="28"/>
          <w:szCs w:val="28"/>
        </w:rPr>
      </w:pPr>
    </w:p>
    <w:p w:rsidR="003B672B" w:rsidRPr="003B672B" w:rsidRDefault="003B672B" w:rsidP="003B672B">
      <w:pPr>
        <w:pStyle w:val="ListParagraph"/>
        <w:numPr>
          <w:ilvl w:val="0"/>
          <w:numId w:val="2"/>
        </w:numPr>
        <w:spacing w:after="120"/>
        <w:ind w:left="426" w:hanging="426"/>
        <w:jc w:val="both"/>
        <w:rPr>
          <w:rFonts w:eastAsia="Calibri"/>
          <w:bCs/>
          <w:sz w:val="28"/>
          <w:szCs w:val="28"/>
          <w:lang w:eastAsia="en-US"/>
        </w:rPr>
      </w:pPr>
      <w:r w:rsidRPr="003B672B">
        <w:rPr>
          <w:rFonts w:eastAsia="Calibri"/>
          <w:bCs/>
          <w:sz w:val="28"/>
          <w:szCs w:val="28"/>
          <w:lang w:val="en-GB" w:eastAsia="en-US"/>
        </w:rPr>
        <w:t>Phán quyết chung thẩm được ban hành phù hợp với Mục này sẽ:</w:t>
      </w:r>
    </w:p>
    <w:p w:rsidR="003B672B" w:rsidRPr="003B672B" w:rsidRDefault="003B672B" w:rsidP="003B672B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eastAsia="Calibri"/>
          <w:bCs/>
          <w:sz w:val="28"/>
          <w:szCs w:val="28"/>
          <w:lang w:eastAsia="en-US"/>
        </w:rPr>
      </w:pPr>
      <w:r w:rsidRPr="003B672B">
        <w:rPr>
          <w:rFonts w:eastAsia="Calibri"/>
          <w:bCs/>
          <w:sz w:val="28"/>
          <w:szCs w:val="28"/>
          <w:lang w:eastAsia="en-US"/>
        </w:rPr>
        <w:t>ràng buộc các bên tranh chấp trong tranh chấp cụ thể đó; và</w:t>
      </w:r>
    </w:p>
    <w:p w:rsidR="003B672B" w:rsidRPr="003B672B" w:rsidRDefault="003B672B" w:rsidP="003B672B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eastAsia="Calibri"/>
          <w:bCs/>
          <w:sz w:val="28"/>
          <w:szCs w:val="28"/>
          <w:lang w:eastAsia="en-US"/>
        </w:rPr>
      </w:pPr>
      <w:r w:rsidRPr="003B672B">
        <w:rPr>
          <w:rFonts w:eastAsia="Calibri"/>
          <w:sz w:val="28"/>
          <w:szCs w:val="28"/>
          <w:lang w:val="en-GB" w:eastAsia="en-US"/>
        </w:rPr>
        <w:t>k</w:t>
      </w:r>
      <w:r w:rsidRPr="003B672B">
        <w:rPr>
          <w:rFonts w:eastAsia="Calibri"/>
          <w:sz w:val="28"/>
          <w:szCs w:val="28"/>
          <w:lang w:eastAsia="en-US"/>
        </w:rPr>
        <w:t xml:space="preserve">hông bị kháng </w:t>
      </w:r>
      <w:r w:rsidRPr="003B672B">
        <w:rPr>
          <w:rFonts w:eastAsia="Calibri"/>
          <w:sz w:val="28"/>
          <w:szCs w:val="28"/>
          <w:lang w:val="en-US" w:eastAsia="en-US"/>
        </w:rPr>
        <w:t>cáo</w:t>
      </w:r>
      <w:r w:rsidRPr="003B672B">
        <w:rPr>
          <w:rFonts w:eastAsia="Calibri"/>
          <w:sz w:val="28"/>
          <w:szCs w:val="28"/>
          <w:lang w:eastAsia="en-US"/>
        </w:rPr>
        <w:t xml:space="preserve">, </w:t>
      </w:r>
      <w:r w:rsidRPr="003B672B">
        <w:rPr>
          <w:rFonts w:eastAsia="Calibri"/>
          <w:sz w:val="28"/>
          <w:szCs w:val="28"/>
          <w:lang w:val="en-US" w:eastAsia="en-US"/>
        </w:rPr>
        <w:t>xem xét lại</w:t>
      </w:r>
      <w:r w:rsidRPr="003B672B">
        <w:rPr>
          <w:rFonts w:eastAsia="Calibri"/>
          <w:sz w:val="28"/>
          <w:szCs w:val="28"/>
          <w:lang w:eastAsia="en-US"/>
        </w:rPr>
        <w:t>, hủy bỏ hoặc</w:t>
      </w:r>
      <w:r w:rsidRPr="003B672B">
        <w:rPr>
          <w:rFonts w:eastAsia="Calibri"/>
          <w:sz w:val="28"/>
          <w:szCs w:val="28"/>
          <w:lang w:val="en-US" w:eastAsia="en-US"/>
        </w:rPr>
        <w:t xml:space="preserve"> hủy hoặc</w:t>
      </w:r>
      <w:r w:rsidRPr="003B672B">
        <w:rPr>
          <w:rFonts w:eastAsia="Calibri"/>
          <w:sz w:val="28"/>
          <w:szCs w:val="28"/>
          <w:lang w:eastAsia="en-US"/>
        </w:rPr>
        <w:t xml:space="preserve"> bất kỳ các biện pháp nào khác.</w:t>
      </w:r>
    </w:p>
    <w:p w:rsidR="003B672B" w:rsidRPr="003B672B" w:rsidRDefault="003B672B" w:rsidP="003B672B">
      <w:pPr>
        <w:pStyle w:val="ListParagraph"/>
        <w:numPr>
          <w:ilvl w:val="0"/>
          <w:numId w:val="2"/>
        </w:numPr>
        <w:spacing w:after="120"/>
        <w:jc w:val="both"/>
        <w:rPr>
          <w:rFonts w:eastAsia="Calibri"/>
          <w:bCs/>
          <w:sz w:val="28"/>
          <w:szCs w:val="28"/>
          <w:lang w:eastAsia="en-US"/>
        </w:rPr>
      </w:pPr>
      <w:r w:rsidRPr="003B672B">
        <w:rPr>
          <w:rFonts w:eastAsia="Calibri"/>
          <w:bCs/>
          <w:sz w:val="28"/>
          <w:szCs w:val="28"/>
          <w:lang w:eastAsia="en-US"/>
        </w:rPr>
        <w:t xml:space="preserve">Mỗi Bên </w:t>
      </w:r>
      <w:r w:rsidRPr="003B672B">
        <w:rPr>
          <w:rFonts w:eastAsia="Calibri"/>
          <w:bCs/>
          <w:sz w:val="28"/>
          <w:szCs w:val="28"/>
          <w:lang w:val="en-US" w:eastAsia="en-US"/>
        </w:rPr>
        <w:t xml:space="preserve">sẽ </w:t>
      </w:r>
      <w:r w:rsidRPr="003B672B">
        <w:rPr>
          <w:rFonts w:eastAsia="Calibri"/>
          <w:bCs/>
          <w:sz w:val="28"/>
          <w:szCs w:val="28"/>
          <w:lang w:eastAsia="en-US"/>
        </w:rPr>
        <w:t>công nhận phán quyết</w:t>
      </w:r>
      <w:r w:rsidRPr="003B672B">
        <w:rPr>
          <w:rFonts w:eastAsia="Calibri"/>
          <w:bCs/>
          <w:sz w:val="28"/>
          <w:szCs w:val="28"/>
          <w:lang w:val="en-US" w:eastAsia="en-US"/>
        </w:rPr>
        <w:t xml:space="preserve"> chung thẩm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được ban hành phù hợp với </w:t>
      </w:r>
      <w:r w:rsidRPr="003B672B">
        <w:rPr>
          <w:rFonts w:eastAsia="Calibri"/>
          <w:bCs/>
          <w:sz w:val="28"/>
          <w:szCs w:val="28"/>
          <w:lang w:val="en-GB" w:eastAsia="en-US"/>
        </w:rPr>
        <w:t>Mục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này là ràng buộc và </w:t>
      </w:r>
      <w:r w:rsidRPr="003B672B">
        <w:rPr>
          <w:rFonts w:eastAsia="Calibri"/>
          <w:bCs/>
          <w:sz w:val="28"/>
          <w:szCs w:val="28"/>
          <w:lang w:val="en-US" w:eastAsia="en-US"/>
        </w:rPr>
        <w:t xml:space="preserve">cho 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thi hành các nghĩa vụ về tài chính </w:t>
      </w:r>
      <w:r w:rsidRPr="003B672B">
        <w:rPr>
          <w:rFonts w:eastAsia="Calibri"/>
          <w:bCs/>
          <w:sz w:val="28"/>
          <w:szCs w:val="28"/>
          <w:lang w:val="en-US" w:eastAsia="en-US"/>
        </w:rPr>
        <w:t>trên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lãnh thổ của mình tương tự như phán quyết chung thẩm của tòa án của Bên đó.</w:t>
      </w:r>
    </w:p>
    <w:p w:rsidR="003B672B" w:rsidRPr="003B672B" w:rsidRDefault="003B672B" w:rsidP="003B672B">
      <w:pPr>
        <w:pStyle w:val="ListParagraph"/>
        <w:numPr>
          <w:ilvl w:val="0"/>
          <w:numId w:val="2"/>
        </w:numPr>
        <w:spacing w:after="120"/>
        <w:jc w:val="both"/>
        <w:rPr>
          <w:rFonts w:eastAsia="Calibri"/>
          <w:bCs/>
          <w:sz w:val="28"/>
          <w:szCs w:val="28"/>
          <w:lang w:eastAsia="en-US"/>
        </w:rPr>
      </w:pPr>
      <w:r w:rsidRPr="003B672B">
        <w:rPr>
          <w:rFonts w:eastAsia="Calibri"/>
          <w:bCs/>
          <w:sz w:val="28"/>
          <w:szCs w:val="28"/>
          <w:lang w:eastAsia="en-US"/>
        </w:rPr>
        <w:t xml:space="preserve">Mặc dù có khoản 1 và 2, trong thời </w:t>
      </w:r>
      <w:r w:rsidRPr="003B672B">
        <w:rPr>
          <w:rFonts w:eastAsia="Calibri"/>
          <w:bCs/>
          <w:sz w:val="28"/>
          <w:szCs w:val="28"/>
          <w:lang w:val="en-GB" w:eastAsia="en-US"/>
        </w:rPr>
        <w:t>gian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nêu tại khoản 4, việc công nhận và </w:t>
      </w:r>
      <w:r w:rsidRPr="003B672B">
        <w:rPr>
          <w:rFonts w:eastAsia="Calibri"/>
          <w:bCs/>
          <w:sz w:val="28"/>
          <w:szCs w:val="28"/>
          <w:lang w:val="en-US" w:eastAsia="en-US"/>
        </w:rPr>
        <w:t xml:space="preserve">thực </w:t>
      </w:r>
      <w:r w:rsidRPr="003B672B">
        <w:rPr>
          <w:rFonts w:eastAsia="Calibri"/>
          <w:bCs/>
          <w:sz w:val="28"/>
          <w:szCs w:val="28"/>
          <w:lang w:eastAsia="en-US"/>
        </w:rPr>
        <w:t>thi phán quyết chung thẩm liên quan đến tranh chấp trong trường hợp Việt Nam là bị đơn sẽ được thực hiện phù hợp với Công ước New York</w:t>
      </w:r>
      <w:r w:rsidRPr="003B672B">
        <w:rPr>
          <w:rFonts w:eastAsia="Calibri"/>
          <w:bCs/>
          <w:sz w:val="28"/>
          <w:szCs w:val="28"/>
          <w:lang w:val="en-US" w:eastAsia="en-US"/>
        </w:rPr>
        <w:t xml:space="preserve"> năm 1958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. Trong thời gian này, khoản </w:t>
      </w:r>
      <w:r w:rsidRPr="003B672B">
        <w:rPr>
          <w:rFonts w:eastAsia="Calibri"/>
          <w:bCs/>
          <w:sz w:val="28"/>
          <w:szCs w:val="28"/>
          <w:lang w:val="en-GB" w:eastAsia="en-US"/>
        </w:rPr>
        <w:t>1(b)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của Điều này và khoản 3(b) của Điều </w:t>
      </w:r>
      <w:r w:rsidRPr="003B672B">
        <w:rPr>
          <w:rFonts w:eastAsia="Calibri"/>
          <w:bCs/>
          <w:sz w:val="28"/>
          <w:szCs w:val="28"/>
          <w:lang w:val="en-GB" w:eastAsia="en-US"/>
        </w:rPr>
        <w:t>3.36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(Thỏa thuận trọng tài) không áp dụng đối với các tranh chấp mà Việt Nam là bị đơn.</w:t>
      </w:r>
    </w:p>
    <w:p w:rsidR="003B672B" w:rsidRPr="003B672B" w:rsidRDefault="003B672B" w:rsidP="003B672B">
      <w:pPr>
        <w:pStyle w:val="ListParagraph"/>
        <w:numPr>
          <w:ilvl w:val="0"/>
          <w:numId w:val="2"/>
        </w:numPr>
        <w:spacing w:after="120"/>
        <w:jc w:val="both"/>
        <w:rPr>
          <w:rFonts w:eastAsia="Calibri"/>
          <w:bCs/>
          <w:sz w:val="28"/>
          <w:szCs w:val="28"/>
          <w:lang w:eastAsia="en-US"/>
        </w:rPr>
      </w:pPr>
      <w:r w:rsidRPr="003B672B">
        <w:rPr>
          <w:rFonts w:eastAsia="Calibri"/>
          <w:bCs/>
          <w:sz w:val="28"/>
          <w:szCs w:val="28"/>
          <w:lang w:eastAsia="en-US"/>
        </w:rPr>
        <w:t xml:space="preserve">Đối với một </w:t>
      </w:r>
      <w:r w:rsidRPr="003B672B">
        <w:rPr>
          <w:rFonts w:eastAsia="Calibri"/>
          <w:bCs/>
          <w:sz w:val="28"/>
          <w:szCs w:val="28"/>
          <w:lang w:val="en-GB" w:eastAsia="en-US"/>
        </w:rPr>
        <w:t>phán quyết chung thẩm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mà Việt Nam là </w:t>
      </w:r>
      <w:r w:rsidRPr="003B672B">
        <w:rPr>
          <w:rFonts w:eastAsia="Calibri"/>
          <w:bCs/>
          <w:sz w:val="28"/>
          <w:szCs w:val="28"/>
          <w:lang w:val="en-GB" w:eastAsia="en-US"/>
        </w:rPr>
        <w:t>bị đơn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, </w:t>
      </w:r>
      <w:r w:rsidRPr="003B672B">
        <w:rPr>
          <w:rFonts w:eastAsia="Calibri"/>
          <w:bCs/>
          <w:sz w:val="28"/>
          <w:szCs w:val="28"/>
          <w:lang w:val="en-GB" w:eastAsia="en-US"/>
        </w:rPr>
        <w:t>khoản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1 (b) và 2 áp dụng sau năm năm kể từ ngày Hiệp định này có hiệu lực, hoặc một thời gian dài hơn do Ủy ban xác định</w:t>
      </w:r>
      <w:r w:rsidRPr="003B672B">
        <w:rPr>
          <w:rFonts w:eastAsia="Calibri"/>
          <w:bCs/>
          <w:sz w:val="28"/>
          <w:szCs w:val="28"/>
          <w:lang w:val="en-US" w:eastAsia="en-US"/>
        </w:rPr>
        <w:t xml:space="preserve"> nếu xuất hiện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các điều kiện </w:t>
      </w:r>
      <w:r w:rsidRPr="003B672B">
        <w:rPr>
          <w:rFonts w:eastAsia="Calibri"/>
          <w:bCs/>
          <w:sz w:val="28"/>
          <w:szCs w:val="28"/>
          <w:lang w:val="en-US" w:eastAsia="en-US"/>
        </w:rPr>
        <w:t>cần thiết</w:t>
      </w:r>
      <w:r w:rsidRPr="003B672B">
        <w:rPr>
          <w:rFonts w:eastAsia="Calibri"/>
          <w:bCs/>
          <w:sz w:val="28"/>
          <w:szCs w:val="28"/>
          <w:lang w:eastAsia="en-US"/>
        </w:rPr>
        <w:t>.</w:t>
      </w:r>
    </w:p>
    <w:p w:rsidR="003B672B" w:rsidRPr="003B672B" w:rsidRDefault="003B672B" w:rsidP="003B672B">
      <w:pPr>
        <w:pStyle w:val="ListParagraph"/>
        <w:numPr>
          <w:ilvl w:val="0"/>
          <w:numId w:val="2"/>
        </w:numPr>
        <w:spacing w:after="120"/>
        <w:jc w:val="both"/>
        <w:rPr>
          <w:rFonts w:eastAsia="Calibri"/>
          <w:bCs/>
          <w:sz w:val="28"/>
          <w:szCs w:val="28"/>
          <w:lang w:eastAsia="en-US"/>
        </w:rPr>
      </w:pPr>
      <w:r w:rsidRPr="003B672B">
        <w:rPr>
          <w:rFonts w:eastAsia="Calibri"/>
          <w:bCs/>
          <w:sz w:val="28"/>
          <w:szCs w:val="28"/>
          <w:lang w:eastAsia="en-US"/>
        </w:rPr>
        <w:t xml:space="preserve">Việc thực </w:t>
      </w:r>
      <w:r w:rsidRPr="003B672B">
        <w:rPr>
          <w:rFonts w:eastAsia="Calibri"/>
          <w:bCs/>
          <w:sz w:val="28"/>
          <w:szCs w:val="28"/>
          <w:lang w:val="en-GB" w:eastAsia="en-US"/>
        </w:rPr>
        <w:t>thi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</w:t>
      </w:r>
      <w:r w:rsidRPr="003B672B">
        <w:rPr>
          <w:rFonts w:eastAsia="Calibri"/>
          <w:bCs/>
          <w:sz w:val="28"/>
          <w:szCs w:val="28"/>
          <w:lang w:val="en-GB" w:eastAsia="en-US"/>
        </w:rPr>
        <w:t>phán quyết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sẽ được điều chỉnh bởi pháp luật liên quan đến việc thi hành </w:t>
      </w:r>
      <w:r w:rsidRPr="003B672B">
        <w:rPr>
          <w:rFonts w:eastAsia="Calibri"/>
          <w:bCs/>
          <w:sz w:val="28"/>
          <w:szCs w:val="28"/>
          <w:lang w:val="en-US" w:eastAsia="en-US"/>
        </w:rPr>
        <w:t xml:space="preserve">phán </w:t>
      </w:r>
      <w:r w:rsidRPr="003B672B">
        <w:rPr>
          <w:rFonts w:eastAsia="Calibri"/>
          <w:bCs/>
          <w:sz w:val="28"/>
          <w:szCs w:val="28"/>
          <w:lang w:val="en-GB" w:eastAsia="en-US"/>
        </w:rPr>
        <w:t xml:space="preserve">quyết 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hoặc </w:t>
      </w:r>
      <w:r w:rsidRPr="003B672B">
        <w:rPr>
          <w:rFonts w:eastAsia="Calibri"/>
          <w:bCs/>
          <w:sz w:val="28"/>
          <w:szCs w:val="28"/>
          <w:lang w:val="en-GB" w:eastAsia="en-US"/>
        </w:rPr>
        <w:t>bản án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có hiệu lực khi </w:t>
      </w:r>
      <w:r w:rsidRPr="003B672B">
        <w:rPr>
          <w:rFonts w:eastAsia="Calibri"/>
          <w:bCs/>
          <w:sz w:val="28"/>
          <w:szCs w:val="28"/>
          <w:lang w:val="en-GB" w:eastAsia="en-US"/>
        </w:rPr>
        <w:t>việc t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hực </w:t>
      </w:r>
      <w:r w:rsidRPr="003B672B">
        <w:rPr>
          <w:rFonts w:eastAsia="Calibri"/>
          <w:bCs/>
          <w:sz w:val="28"/>
          <w:szCs w:val="28"/>
          <w:lang w:val="en-GB" w:eastAsia="en-US"/>
        </w:rPr>
        <w:t xml:space="preserve">thi </w:t>
      </w:r>
      <w:r w:rsidRPr="003B672B">
        <w:rPr>
          <w:rFonts w:eastAsia="Calibri"/>
          <w:bCs/>
          <w:sz w:val="28"/>
          <w:szCs w:val="28"/>
          <w:lang w:eastAsia="en-US"/>
        </w:rPr>
        <w:t>đó</w:t>
      </w:r>
      <w:r w:rsidRPr="003B672B">
        <w:rPr>
          <w:rFonts w:eastAsia="Calibri"/>
          <w:bCs/>
          <w:sz w:val="28"/>
          <w:szCs w:val="28"/>
          <w:lang w:val="en-GB" w:eastAsia="en-US"/>
        </w:rPr>
        <w:t xml:space="preserve"> được yêu cầu.</w:t>
      </w:r>
    </w:p>
    <w:p w:rsidR="003B672B" w:rsidRPr="003B672B" w:rsidRDefault="003B672B" w:rsidP="003B672B">
      <w:pPr>
        <w:pStyle w:val="ListParagraph"/>
        <w:numPr>
          <w:ilvl w:val="0"/>
          <w:numId w:val="2"/>
        </w:numPr>
        <w:spacing w:after="120"/>
        <w:jc w:val="both"/>
        <w:rPr>
          <w:rFonts w:eastAsia="Calibri"/>
          <w:bCs/>
          <w:sz w:val="28"/>
          <w:szCs w:val="28"/>
          <w:lang w:eastAsia="en-US"/>
        </w:rPr>
      </w:pPr>
      <w:r w:rsidRPr="003B672B">
        <w:rPr>
          <w:rFonts w:eastAsia="Calibri"/>
          <w:bCs/>
          <w:sz w:val="28"/>
          <w:szCs w:val="28"/>
          <w:lang w:eastAsia="en-US"/>
        </w:rPr>
        <w:t xml:space="preserve">Để </w:t>
      </w:r>
      <w:r w:rsidRPr="003B672B">
        <w:rPr>
          <w:rFonts w:eastAsia="Calibri"/>
          <w:bCs/>
          <w:sz w:val="28"/>
          <w:szCs w:val="28"/>
          <w:lang w:val="en-GB" w:eastAsia="en-US"/>
        </w:rPr>
        <w:t>rõ ràng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hơn, Điều 4.14 (Không có </w:t>
      </w:r>
      <w:r w:rsidRPr="003B672B">
        <w:rPr>
          <w:rFonts w:eastAsia="Calibri"/>
          <w:bCs/>
          <w:sz w:val="28"/>
          <w:szCs w:val="28"/>
          <w:lang w:val="en-GB" w:eastAsia="en-US"/>
        </w:rPr>
        <w:t>h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iệu lực </w:t>
      </w:r>
      <w:r w:rsidRPr="003B672B">
        <w:rPr>
          <w:rFonts w:eastAsia="Calibri"/>
          <w:bCs/>
          <w:sz w:val="28"/>
          <w:szCs w:val="28"/>
          <w:lang w:val="en-GB" w:eastAsia="en-US"/>
        </w:rPr>
        <w:t>t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rực tiếp) sẽ không ngăn cản việc công nhận, </w:t>
      </w:r>
      <w:r w:rsidRPr="003B672B">
        <w:rPr>
          <w:rFonts w:eastAsia="Calibri"/>
          <w:bCs/>
          <w:sz w:val="28"/>
          <w:szCs w:val="28"/>
          <w:lang w:val="en-GB" w:eastAsia="en-US"/>
        </w:rPr>
        <w:t>thực thi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và thi hành các </w:t>
      </w:r>
      <w:r w:rsidRPr="003B672B">
        <w:rPr>
          <w:rFonts w:eastAsia="Calibri"/>
          <w:bCs/>
          <w:sz w:val="28"/>
          <w:szCs w:val="28"/>
          <w:lang w:val="en-GB" w:eastAsia="en-US"/>
        </w:rPr>
        <w:t>phán quyết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được đưa ra theo </w:t>
      </w:r>
      <w:r w:rsidRPr="003B672B">
        <w:rPr>
          <w:rFonts w:eastAsia="Calibri"/>
          <w:bCs/>
          <w:sz w:val="28"/>
          <w:szCs w:val="28"/>
          <w:lang w:val="en-GB" w:eastAsia="en-US"/>
        </w:rPr>
        <w:t>Mục</w:t>
      </w:r>
      <w:r w:rsidRPr="003B672B">
        <w:rPr>
          <w:rFonts w:eastAsia="Calibri"/>
          <w:bCs/>
          <w:sz w:val="28"/>
          <w:szCs w:val="28"/>
          <w:lang w:eastAsia="en-US"/>
        </w:rPr>
        <w:t xml:space="preserve"> này.</w:t>
      </w:r>
    </w:p>
    <w:p w:rsidR="003B672B" w:rsidRPr="003B672B" w:rsidRDefault="003B672B" w:rsidP="003B672B">
      <w:pPr>
        <w:pStyle w:val="ListParagraph"/>
        <w:numPr>
          <w:ilvl w:val="0"/>
          <w:numId w:val="2"/>
        </w:num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3B672B">
        <w:rPr>
          <w:rFonts w:eastAsia="Calibri"/>
          <w:sz w:val="28"/>
          <w:szCs w:val="28"/>
          <w:lang w:eastAsia="en-US"/>
        </w:rPr>
        <w:t xml:space="preserve">Theo mục đích của Điều 1 Công ước New York năm 1958, các </w:t>
      </w:r>
      <w:r w:rsidRPr="003B672B">
        <w:rPr>
          <w:rFonts w:eastAsia="Calibri"/>
          <w:sz w:val="28"/>
          <w:szCs w:val="28"/>
          <w:lang w:val="en-GB" w:eastAsia="en-US"/>
        </w:rPr>
        <w:t>phán quyết</w:t>
      </w:r>
      <w:r w:rsidRPr="003B672B">
        <w:rPr>
          <w:rFonts w:eastAsia="Calibri"/>
          <w:sz w:val="28"/>
          <w:szCs w:val="28"/>
          <w:lang w:eastAsia="en-US"/>
        </w:rPr>
        <w:t xml:space="preserve"> </w:t>
      </w:r>
      <w:r w:rsidRPr="003B672B">
        <w:rPr>
          <w:rFonts w:eastAsia="Calibri"/>
          <w:sz w:val="28"/>
          <w:szCs w:val="28"/>
          <w:lang w:val="en-GB" w:eastAsia="en-US"/>
        </w:rPr>
        <w:t>chung thẩm</w:t>
      </w:r>
      <w:r w:rsidRPr="003B672B">
        <w:rPr>
          <w:rFonts w:eastAsia="Calibri"/>
          <w:sz w:val="28"/>
          <w:szCs w:val="28"/>
          <w:lang w:eastAsia="en-US"/>
        </w:rPr>
        <w:t xml:space="preserve"> được ban hành theo </w:t>
      </w:r>
      <w:r w:rsidRPr="003B672B">
        <w:rPr>
          <w:rFonts w:eastAsia="Calibri"/>
          <w:sz w:val="28"/>
          <w:szCs w:val="28"/>
          <w:lang w:val="en-GB" w:eastAsia="en-US"/>
        </w:rPr>
        <w:t>Mục</w:t>
      </w:r>
      <w:r w:rsidRPr="003B672B">
        <w:rPr>
          <w:rFonts w:eastAsia="Calibri"/>
          <w:sz w:val="28"/>
          <w:szCs w:val="28"/>
          <w:lang w:eastAsia="en-US"/>
        </w:rPr>
        <w:t xml:space="preserve"> này sẽ được coi là </w:t>
      </w:r>
      <w:r w:rsidRPr="003B672B">
        <w:rPr>
          <w:rFonts w:eastAsia="Calibri"/>
          <w:sz w:val="28"/>
          <w:szCs w:val="28"/>
          <w:lang w:val="en-GB" w:eastAsia="en-US"/>
        </w:rPr>
        <w:t>phán quyết trọng tài</w:t>
      </w:r>
      <w:r w:rsidRPr="003B672B">
        <w:rPr>
          <w:rFonts w:eastAsia="Calibri"/>
          <w:sz w:val="28"/>
          <w:szCs w:val="28"/>
          <w:lang w:eastAsia="en-US"/>
        </w:rPr>
        <w:t xml:space="preserve"> và liên quan đến các khiếu nại phát sinh từ một mối quan hệ </w:t>
      </w:r>
      <w:r w:rsidRPr="003B672B">
        <w:rPr>
          <w:rFonts w:eastAsia="Calibri"/>
          <w:sz w:val="28"/>
          <w:szCs w:val="28"/>
          <w:lang w:val="en-US" w:eastAsia="en-US"/>
        </w:rPr>
        <w:t xml:space="preserve">hoặc </w:t>
      </w:r>
      <w:r w:rsidRPr="003B672B">
        <w:rPr>
          <w:rFonts w:eastAsia="Calibri"/>
          <w:sz w:val="28"/>
          <w:szCs w:val="28"/>
          <w:lang w:val="en-GB" w:eastAsia="en-US"/>
        </w:rPr>
        <w:t>giao dịch thương mại.</w:t>
      </w:r>
    </w:p>
    <w:p w:rsidR="00715DF4" w:rsidRPr="006936FA" w:rsidRDefault="003B672B" w:rsidP="00CA0F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</w:pPr>
      <w:r w:rsidRPr="006936FA">
        <w:rPr>
          <w:rFonts w:eastAsia="Calibri"/>
          <w:sz w:val="28"/>
          <w:szCs w:val="28"/>
          <w:lang w:eastAsia="en-US"/>
        </w:rPr>
        <w:t xml:space="preserve">Để </w:t>
      </w:r>
      <w:r w:rsidRPr="006936FA">
        <w:rPr>
          <w:rFonts w:eastAsia="Calibri"/>
          <w:sz w:val="28"/>
          <w:szCs w:val="28"/>
          <w:lang w:val="en-GB" w:eastAsia="en-US"/>
        </w:rPr>
        <w:t>rõ ràng</w:t>
      </w:r>
      <w:r w:rsidRPr="006936FA">
        <w:rPr>
          <w:rFonts w:eastAsia="Calibri"/>
          <w:sz w:val="28"/>
          <w:szCs w:val="28"/>
          <w:lang w:eastAsia="en-US"/>
        </w:rPr>
        <w:t xml:space="preserve"> hơn và </w:t>
      </w:r>
      <w:r w:rsidRPr="006936FA">
        <w:rPr>
          <w:rFonts w:eastAsia="Calibri"/>
          <w:sz w:val="28"/>
          <w:szCs w:val="28"/>
          <w:lang w:val="en-GB" w:eastAsia="en-US"/>
        </w:rPr>
        <w:t>phù hợp với</w:t>
      </w:r>
      <w:r w:rsidRPr="006936FA">
        <w:rPr>
          <w:rFonts w:eastAsia="Calibri"/>
          <w:sz w:val="28"/>
          <w:szCs w:val="28"/>
          <w:lang w:eastAsia="en-US"/>
        </w:rPr>
        <w:t xml:space="preserve"> </w:t>
      </w:r>
      <w:r w:rsidRPr="006936FA">
        <w:rPr>
          <w:rFonts w:eastAsia="Calibri"/>
          <w:sz w:val="28"/>
          <w:szCs w:val="28"/>
          <w:lang w:val="en-GB" w:eastAsia="en-US"/>
        </w:rPr>
        <w:t>khoản</w:t>
      </w:r>
      <w:r w:rsidRPr="006936FA">
        <w:rPr>
          <w:rFonts w:eastAsia="Calibri"/>
          <w:sz w:val="28"/>
          <w:szCs w:val="28"/>
          <w:lang w:eastAsia="en-US"/>
        </w:rPr>
        <w:t xml:space="preserve"> 1 (b), </w:t>
      </w:r>
      <w:r w:rsidRPr="006936FA">
        <w:rPr>
          <w:rFonts w:eastAsia="Calibri"/>
          <w:sz w:val="28"/>
          <w:szCs w:val="28"/>
          <w:lang w:val="en-GB" w:eastAsia="en-US"/>
        </w:rPr>
        <w:t>trường hợp khiếu kiện</w:t>
      </w:r>
      <w:r w:rsidRPr="006936FA">
        <w:rPr>
          <w:rFonts w:eastAsia="Calibri"/>
          <w:sz w:val="28"/>
          <w:szCs w:val="28"/>
          <w:lang w:eastAsia="en-US"/>
        </w:rPr>
        <w:t xml:space="preserve"> đã được </w:t>
      </w:r>
      <w:r w:rsidRPr="006936FA">
        <w:rPr>
          <w:rFonts w:eastAsia="Calibri"/>
          <w:sz w:val="28"/>
          <w:szCs w:val="28"/>
          <w:lang w:val="en-GB" w:eastAsia="en-US"/>
        </w:rPr>
        <w:t>nộp</w:t>
      </w:r>
      <w:r w:rsidRPr="006936FA">
        <w:rPr>
          <w:rFonts w:eastAsia="Calibri"/>
          <w:sz w:val="28"/>
          <w:szCs w:val="28"/>
          <w:lang w:eastAsia="en-US"/>
        </w:rPr>
        <w:t xml:space="preserve"> để giải quyết tranh chấp theo khoản 2 (a) Điều 3.33 (Nộp </w:t>
      </w:r>
      <w:r w:rsidRPr="006936FA">
        <w:rPr>
          <w:rFonts w:eastAsia="Calibri"/>
          <w:sz w:val="28"/>
          <w:szCs w:val="28"/>
          <w:lang w:val="en-GB" w:eastAsia="en-US"/>
        </w:rPr>
        <w:t>khiếu kiện</w:t>
      </w:r>
      <w:r w:rsidRPr="006936FA">
        <w:rPr>
          <w:rFonts w:eastAsia="Calibri"/>
          <w:sz w:val="28"/>
          <w:szCs w:val="28"/>
          <w:lang w:eastAsia="en-US"/>
        </w:rPr>
        <w:t xml:space="preserve">), </w:t>
      </w:r>
      <w:r w:rsidRPr="006936FA">
        <w:rPr>
          <w:rFonts w:eastAsia="Calibri"/>
          <w:sz w:val="28"/>
          <w:szCs w:val="28"/>
          <w:lang w:val="en-GB" w:eastAsia="en-US"/>
        </w:rPr>
        <w:t>phán quyết chung thẩm</w:t>
      </w:r>
      <w:r w:rsidRPr="006936FA">
        <w:rPr>
          <w:rFonts w:eastAsia="Calibri"/>
          <w:sz w:val="28"/>
          <w:szCs w:val="28"/>
          <w:lang w:eastAsia="en-US"/>
        </w:rPr>
        <w:t xml:space="preserve"> được ban hành theo </w:t>
      </w:r>
      <w:r w:rsidRPr="006936FA">
        <w:rPr>
          <w:rFonts w:eastAsia="Calibri"/>
          <w:sz w:val="28"/>
          <w:szCs w:val="28"/>
          <w:lang w:val="en-GB" w:eastAsia="en-US"/>
        </w:rPr>
        <w:t xml:space="preserve">Mục </w:t>
      </w:r>
      <w:r w:rsidRPr="006936FA">
        <w:rPr>
          <w:rFonts w:eastAsia="Calibri"/>
          <w:sz w:val="28"/>
          <w:szCs w:val="28"/>
          <w:lang w:eastAsia="en-US"/>
        </w:rPr>
        <w:t xml:space="preserve">này sẽ đủ điều kiện như </w:t>
      </w:r>
      <w:r w:rsidRPr="006936FA">
        <w:rPr>
          <w:rFonts w:eastAsia="Calibri"/>
          <w:sz w:val="28"/>
          <w:szCs w:val="28"/>
          <w:lang w:val="en-GB" w:eastAsia="en-US"/>
        </w:rPr>
        <w:t>một phán quyết</w:t>
      </w:r>
      <w:r w:rsidRPr="006936FA">
        <w:rPr>
          <w:rFonts w:eastAsia="Calibri"/>
          <w:sz w:val="28"/>
          <w:szCs w:val="28"/>
          <w:lang w:eastAsia="en-US"/>
        </w:rPr>
        <w:t xml:space="preserve"> theo </w:t>
      </w:r>
      <w:r w:rsidRPr="006936FA">
        <w:rPr>
          <w:rFonts w:eastAsia="Calibri"/>
          <w:sz w:val="28"/>
          <w:szCs w:val="28"/>
          <w:lang w:val="en-GB" w:eastAsia="en-US"/>
        </w:rPr>
        <w:t>Mục</w:t>
      </w:r>
      <w:r w:rsidRPr="006936FA">
        <w:rPr>
          <w:rFonts w:eastAsia="Calibri"/>
          <w:sz w:val="28"/>
          <w:szCs w:val="28"/>
          <w:lang w:eastAsia="en-US"/>
        </w:rPr>
        <w:t xml:space="preserve"> 6 của Chương IV Công ước ICSID.</w:t>
      </w:r>
    </w:p>
    <w:sectPr w:rsidR="00715DF4" w:rsidRPr="006936FA" w:rsidSect="00213BDA"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1B" w:rsidRDefault="00A0451B" w:rsidP="00715DF4">
      <w:pPr>
        <w:spacing w:after="0" w:line="240" w:lineRule="auto"/>
      </w:pPr>
      <w:r>
        <w:separator/>
      </w:r>
    </w:p>
  </w:endnote>
  <w:endnote w:type="continuationSeparator" w:id="0">
    <w:p w:rsidR="00A0451B" w:rsidRDefault="00A0451B" w:rsidP="0071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1B" w:rsidRDefault="00A0451B" w:rsidP="00715DF4">
      <w:pPr>
        <w:spacing w:after="0" w:line="240" w:lineRule="auto"/>
      </w:pPr>
      <w:r>
        <w:separator/>
      </w:r>
    </w:p>
  </w:footnote>
  <w:footnote w:type="continuationSeparator" w:id="0">
    <w:p w:rsidR="00A0451B" w:rsidRDefault="00A0451B" w:rsidP="00715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059F"/>
    <w:multiLevelType w:val="hybridMultilevel"/>
    <w:tmpl w:val="8C10C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F345D"/>
    <w:multiLevelType w:val="multilevel"/>
    <w:tmpl w:val="FDB244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-"/>
      <w:lvlJc w:val="left"/>
      <w:pPr>
        <w:tabs>
          <w:tab w:val="num" w:pos="720"/>
        </w:tabs>
        <w:ind w:left="720" w:hanging="720"/>
      </w:p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</w:lvl>
    <w:lvl w:ilvl="6">
      <w:start w:val="1"/>
      <w:numFmt w:val="none"/>
      <w:lvlRestart w:val="0"/>
      <w:lvlText w:val="-"/>
      <w:lvlJc w:val="left"/>
      <w:pPr>
        <w:tabs>
          <w:tab w:val="num" w:pos="1440"/>
        </w:tabs>
        <w:ind w:left="1440" w:hanging="720"/>
      </w:pPr>
    </w:lvl>
    <w:lvl w:ilvl="7">
      <w:start w:val="1"/>
      <w:numFmt w:val="none"/>
      <w:lvlRestart w:val="0"/>
      <w:pStyle w:val="BodyText2"/>
      <w:lvlText w:val="-"/>
      <w:lvlJc w:val="left"/>
      <w:pPr>
        <w:tabs>
          <w:tab w:val="num" w:pos="2160"/>
        </w:tabs>
        <w:ind w:left="2160" w:hanging="720"/>
      </w:pPr>
    </w:lvl>
    <w:lvl w:ilvl="8">
      <w:start w:val="1"/>
      <w:numFmt w:val="none"/>
      <w:lvlRestart w:val="0"/>
      <w:pStyle w:val="BodyText2"/>
      <w:lvlText w:val="-"/>
      <w:lvlJc w:val="left"/>
      <w:pPr>
        <w:tabs>
          <w:tab w:val="num" w:pos="2880"/>
        </w:tabs>
        <w:ind w:left="2880" w:hanging="720"/>
      </w:pPr>
    </w:lvl>
  </w:abstractNum>
  <w:abstractNum w:abstractNumId="2">
    <w:nsid w:val="16B2557F"/>
    <w:multiLevelType w:val="hybridMultilevel"/>
    <w:tmpl w:val="4BE85222"/>
    <w:lvl w:ilvl="0" w:tplc="C02CE5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0230"/>
    <w:multiLevelType w:val="hybridMultilevel"/>
    <w:tmpl w:val="EBB40042"/>
    <w:lvl w:ilvl="0" w:tplc="5AFCCE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EC1B81"/>
    <w:multiLevelType w:val="hybridMultilevel"/>
    <w:tmpl w:val="9E127F2A"/>
    <w:lvl w:ilvl="0" w:tplc="C02CE5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0163D"/>
    <w:multiLevelType w:val="hybridMultilevel"/>
    <w:tmpl w:val="41BA0A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AD6C2E"/>
    <w:multiLevelType w:val="hybridMultilevel"/>
    <w:tmpl w:val="BE764BDA"/>
    <w:lvl w:ilvl="0" w:tplc="C02CE5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F4356"/>
    <w:multiLevelType w:val="hybridMultilevel"/>
    <w:tmpl w:val="DC846EF8"/>
    <w:lvl w:ilvl="0" w:tplc="C02CE53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A142607"/>
    <w:multiLevelType w:val="hybridMultilevel"/>
    <w:tmpl w:val="E5F236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2B"/>
    <w:rsid w:val="001F038E"/>
    <w:rsid w:val="00213BDA"/>
    <w:rsid w:val="00344A26"/>
    <w:rsid w:val="003B672B"/>
    <w:rsid w:val="003D30F8"/>
    <w:rsid w:val="00561FE1"/>
    <w:rsid w:val="0058105C"/>
    <w:rsid w:val="006936FA"/>
    <w:rsid w:val="006F59FF"/>
    <w:rsid w:val="00715DF4"/>
    <w:rsid w:val="008C5B96"/>
    <w:rsid w:val="009D357A"/>
    <w:rsid w:val="00A0451B"/>
    <w:rsid w:val="00B73DFC"/>
    <w:rsid w:val="00CE35C3"/>
    <w:rsid w:val="00DD68E7"/>
    <w:rsid w:val="00F56B26"/>
    <w:rsid w:val="00FD62EC"/>
    <w:rsid w:val="00F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18B6F-4D6D-4BDB-B05C-716ACBC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Heading4"/>
    <w:link w:val="Heading3Char"/>
    <w:qFormat/>
    <w:rsid w:val="003B672B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eastAsia="Times New Roman" w:cs="Times New Roman"/>
      <w:b/>
      <w:sz w:val="22"/>
      <w:szCs w:val="2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3B672B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eastAsia="Times New Roman" w:cs="Times New Roman"/>
      <w:b/>
      <w:sz w:val="22"/>
      <w:szCs w:val="20"/>
      <w:lang w:val="x-none"/>
    </w:rPr>
  </w:style>
  <w:style w:type="paragraph" w:styleId="Heading5">
    <w:name w:val="heading 5"/>
    <w:basedOn w:val="Normal"/>
    <w:next w:val="Normal"/>
    <w:link w:val="Heading5Char"/>
    <w:qFormat/>
    <w:rsid w:val="003B672B"/>
    <w:pPr>
      <w:keepNext/>
      <w:numPr>
        <w:ilvl w:val="4"/>
        <w:numId w:val="1"/>
      </w:numPr>
      <w:spacing w:after="240" w:line="240" w:lineRule="auto"/>
      <w:jc w:val="both"/>
      <w:outlineLvl w:val="4"/>
    </w:pPr>
    <w:rPr>
      <w:rFonts w:eastAsia="Times New Roman" w:cs="Times New Roman"/>
      <w:b/>
      <w:sz w:val="22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672B"/>
    <w:rPr>
      <w:rFonts w:eastAsia="Times New Roman" w:cs="Times New Roman"/>
      <w:b/>
      <w:sz w:val="22"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3B672B"/>
    <w:rPr>
      <w:rFonts w:eastAsia="Times New Roman" w:cs="Times New Roman"/>
      <w:b/>
      <w:sz w:val="22"/>
      <w:szCs w:val="20"/>
      <w:lang w:val="x-none"/>
    </w:rPr>
  </w:style>
  <w:style w:type="character" w:customStyle="1" w:styleId="Heading5Char">
    <w:name w:val="Heading 5 Char"/>
    <w:basedOn w:val="DefaultParagraphFont"/>
    <w:link w:val="Heading5"/>
    <w:rsid w:val="003B672B"/>
    <w:rPr>
      <w:rFonts w:eastAsia="Times New Roman" w:cs="Times New Roman"/>
      <w:b/>
      <w:sz w:val="22"/>
      <w:szCs w:val="20"/>
      <w:lang w:val="x-none"/>
    </w:rPr>
  </w:style>
  <w:style w:type="paragraph" w:styleId="BodyText2">
    <w:name w:val="Body Text 2"/>
    <w:basedOn w:val="Normal"/>
    <w:link w:val="BodyText2Char"/>
    <w:rsid w:val="003B672B"/>
    <w:pPr>
      <w:numPr>
        <w:ilvl w:val="8"/>
        <w:numId w:val="1"/>
      </w:numPr>
      <w:tabs>
        <w:tab w:val="clear" w:pos="2880"/>
        <w:tab w:val="num" w:pos="1440"/>
      </w:tabs>
      <w:spacing w:after="240" w:line="240" w:lineRule="auto"/>
      <w:ind w:left="1440"/>
      <w:jc w:val="both"/>
    </w:pPr>
    <w:rPr>
      <w:rFonts w:eastAsia="Times New Roman" w:cs="Times New Roman"/>
      <w:sz w:val="22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rsid w:val="003B672B"/>
    <w:rPr>
      <w:rFonts w:eastAsia="Times New Roman" w:cs="Times New Roman"/>
      <w:sz w:val="22"/>
      <w:szCs w:val="20"/>
      <w:lang w:val="x-none"/>
    </w:rPr>
  </w:style>
  <w:style w:type="paragraph" w:styleId="ListParagraph">
    <w:name w:val="List Paragraph"/>
    <w:basedOn w:val="Normal"/>
    <w:link w:val="ListParagraphChar"/>
    <w:uiPriority w:val="34"/>
    <w:qFormat/>
    <w:rsid w:val="003B672B"/>
    <w:pPr>
      <w:spacing w:after="0" w:line="240" w:lineRule="auto"/>
      <w:ind w:left="720"/>
    </w:pPr>
    <w:rPr>
      <w:rFonts w:eastAsia="Times New Roman" w:cs="Times New Roman"/>
      <w:szCs w:val="24"/>
      <w:lang w:val="x-none" w:eastAsia="en-GB"/>
    </w:rPr>
  </w:style>
  <w:style w:type="character" w:customStyle="1" w:styleId="ListParagraphChar">
    <w:name w:val="List Paragraph Char"/>
    <w:link w:val="ListParagraph"/>
    <w:uiPriority w:val="34"/>
    <w:rsid w:val="003B672B"/>
    <w:rPr>
      <w:rFonts w:eastAsia="Times New Roman" w:cs="Times New Roman"/>
      <w:szCs w:val="24"/>
      <w:lang w:val="x-none" w:eastAsia="en-GB"/>
    </w:rPr>
  </w:style>
  <w:style w:type="paragraph" w:customStyle="1" w:styleId="Style2">
    <w:name w:val="Style2"/>
    <w:basedOn w:val="ListParagraph"/>
    <w:link w:val="Style2Char"/>
    <w:autoRedefine/>
    <w:qFormat/>
    <w:rsid w:val="003B672B"/>
    <w:pPr>
      <w:keepNext/>
      <w:autoSpaceDE w:val="0"/>
      <w:autoSpaceDN w:val="0"/>
      <w:adjustRightInd w:val="0"/>
      <w:ind w:left="0"/>
      <w:jc w:val="center"/>
    </w:pPr>
    <w:rPr>
      <w:rFonts w:eastAsia="Calibri"/>
      <w:lang w:val="en-GB" w:eastAsia="en-US"/>
    </w:rPr>
  </w:style>
  <w:style w:type="character" w:customStyle="1" w:styleId="Style2Char">
    <w:name w:val="Style2 Char"/>
    <w:link w:val="Style2"/>
    <w:rsid w:val="003B672B"/>
    <w:rPr>
      <w:rFonts w:eastAsia="Calibri" w:cs="Times New Roman"/>
      <w:szCs w:val="24"/>
      <w:lang w:val="en-GB"/>
    </w:rPr>
  </w:style>
  <w:style w:type="paragraph" w:styleId="FootnoteText">
    <w:name w:val="footnote text"/>
    <w:aliases w:val="fn,footnote text,Final Footnote Text,Nota de rodapé,Final Footnote Text Char Char,GM_Fußnotentext,Footnote text,Schriftart: 9 pt,Schriftart: 10 pt,Schriftart: 8 pt,WB-Fußnotentext,Footnote Text 2,Footnotes,ft,fn cafc,Footnote ak"/>
    <w:basedOn w:val="Normal"/>
    <w:link w:val="FootnoteTextChar"/>
    <w:uiPriority w:val="99"/>
    <w:unhideWhenUsed/>
    <w:rsid w:val="00715DF4"/>
    <w:pPr>
      <w:spacing w:after="0" w:line="240" w:lineRule="auto"/>
    </w:pPr>
    <w:rPr>
      <w:rFonts w:eastAsia="Batang" w:cs="Times New Roman"/>
      <w:sz w:val="20"/>
      <w:szCs w:val="20"/>
      <w:lang w:val="x-none" w:eastAsia="en-GB"/>
    </w:rPr>
  </w:style>
  <w:style w:type="character" w:customStyle="1" w:styleId="FootnoteTextChar">
    <w:name w:val="Footnote Text Char"/>
    <w:aliases w:val="fn Char,footnote text Char,Final Footnote Text Char,Nota de rodapé Char,Final Footnote Text Char Char Char,GM_Fußnotentext Char,Footnote text Char,Schriftart: 9 pt Char,Schriftart: 10 pt Char,Schriftart: 8 pt Char,WB-Fußnotentext Char"/>
    <w:basedOn w:val="DefaultParagraphFont"/>
    <w:link w:val="FootnoteText"/>
    <w:uiPriority w:val="99"/>
    <w:rsid w:val="00715DF4"/>
    <w:rPr>
      <w:rFonts w:eastAsia="Batang" w:cs="Times New Roman"/>
      <w:sz w:val="20"/>
      <w:szCs w:val="20"/>
      <w:lang w:val="x-none" w:eastAsia="en-GB"/>
    </w:rPr>
  </w:style>
  <w:style w:type="character" w:styleId="FootnoteReference">
    <w:name w:val="footnote reference"/>
    <w:aliases w:val="BVI fnr, BVI fnr,(Footnote Reference),Footnote Reference/,Ref,de nota al pie"/>
    <w:unhideWhenUsed/>
    <w:rsid w:val="00715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</dc:creator>
  <cp:keywords/>
  <dc:description/>
  <cp:lastModifiedBy>Quynh</cp:lastModifiedBy>
  <cp:revision>2</cp:revision>
  <dcterms:created xsi:type="dcterms:W3CDTF">2020-05-15T11:06:00Z</dcterms:created>
  <dcterms:modified xsi:type="dcterms:W3CDTF">2020-05-15T11:06:00Z</dcterms:modified>
</cp:coreProperties>
</file>