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4" w:type="dxa"/>
        <w:tblInd w:w="-106" w:type="dxa"/>
        <w:tblLayout w:type="fixed"/>
        <w:tblLook w:val="0000"/>
      </w:tblPr>
      <w:tblGrid>
        <w:gridCol w:w="3364"/>
        <w:gridCol w:w="6300"/>
      </w:tblGrid>
      <w:tr w:rsidR="003A35EA" w:rsidRPr="002A5269" w:rsidTr="00206E2F">
        <w:tc>
          <w:tcPr>
            <w:tcW w:w="3364" w:type="dxa"/>
          </w:tcPr>
          <w:p w:rsidR="003A35EA" w:rsidRPr="002A5269" w:rsidRDefault="003A35EA" w:rsidP="00376242">
            <w:pPr>
              <w:ind w:left="14" w:right="-14"/>
              <w:jc w:val="center"/>
              <w:rPr>
                <w:spacing w:val="-6"/>
                <w:sz w:val="26"/>
                <w:szCs w:val="26"/>
              </w:rPr>
            </w:pPr>
            <w:r w:rsidRPr="002A5269">
              <w:rPr>
                <w:spacing w:val="-6"/>
                <w:sz w:val="26"/>
                <w:szCs w:val="26"/>
              </w:rPr>
              <w:t>BỘ KẾ HOẠCH VÀ ĐẦU TƯ</w:t>
            </w:r>
          </w:p>
          <w:p w:rsidR="003A35EA" w:rsidRPr="002A5269" w:rsidRDefault="003A35EA" w:rsidP="00F359E0">
            <w:pPr>
              <w:spacing w:before="20"/>
              <w:ind w:left="16" w:right="-18"/>
              <w:jc w:val="center"/>
              <w:rPr>
                <w:b/>
                <w:bCs/>
                <w:spacing w:val="-6"/>
                <w:sz w:val="26"/>
                <w:szCs w:val="26"/>
              </w:rPr>
            </w:pPr>
            <w:r w:rsidRPr="002A5269">
              <w:rPr>
                <w:b/>
                <w:bCs/>
                <w:spacing w:val="-6"/>
                <w:sz w:val="26"/>
                <w:szCs w:val="26"/>
              </w:rPr>
              <w:t>TỔNG CỤC THỐNG KÊ</w:t>
            </w:r>
          </w:p>
          <w:p w:rsidR="003A35EA" w:rsidRPr="002A5269" w:rsidRDefault="0022317F" w:rsidP="00F359E0">
            <w:pPr>
              <w:spacing w:before="120"/>
              <w:ind w:left="16" w:right="-18"/>
              <w:jc w:val="both"/>
              <w:rPr>
                <w:sz w:val="16"/>
                <w:szCs w:val="26"/>
              </w:rPr>
            </w:pPr>
            <w:r w:rsidRPr="0022317F">
              <w:rPr>
                <w:noProof/>
              </w:rPr>
              <w:pict>
                <v:line id="_x0000_s1026" style="position:absolute;left:0;text-align:left;z-index:251656704" from="39.2pt,4.45pt" to="115.7pt,4.45pt" strokeweight="1pt"/>
              </w:pict>
            </w:r>
            <w:r w:rsidR="003A35EA" w:rsidRPr="002A5269">
              <w:rPr>
                <w:sz w:val="26"/>
                <w:szCs w:val="26"/>
              </w:rPr>
              <w:t xml:space="preserve">     </w:t>
            </w:r>
          </w:p>
          <w:p w:rsidR="003A35EA" w:rsidRPr="002A5269" w:rsidRDefault="003A35EA" w:rsidP="0000480E">
            <w:pPr>
              <w:ind w:left="14" w:right="-14"/>
              <w:jc w:val="center"/>
            </w:pPr>
            <w:r w:rsidRPr="002A5269">
              <w:t xml:space="preserve"> Số</w:t>
            </w:r>
            <w:r w:rsidR="00F6165C" w:rsidRPr="002A5269">
              <w:t>:</w:t>
            </w:r>
            <w:r w:rsidR="00602EF9">
              <w:t xml:space="preserve"> </w:t>
            </w:r>
            <w:r w:rsidR="0000480E">
              <w:t>54</w:t>
            </w:r>
            <w:r w:rsidR="009241D2">
              <w:t>/</w:t>
            </w:r>
            <w:r w:rsidRPr="002A5269">
              <w:t>BC-TCTK</w:t>
            </w:r>
          </w:p>
        </w:tc>
        <w:tc>
          <w:tcPr>
            <w:tcW w:w="6300" w:type="dxa"/>
          </w:tcPr>
          <w:p w:rsidR="003A35EA" w:rsidRPr="002A5269" w:rsidRDefault="003A35EA" w:rsidP="00376242">
            <w:pPr>
              <w:ind w:left="72"/>
              <w:jc w:val="center"/>
              <w:rPr>
                <w:b/>
                <w:bCs/>
                <w:sz w:val="26"/>
                <w:szCs w:val="26"/>
              </w:rPr>
            </w:pPr>
            <w:r w:rsidRPr="002A5269">
              <w:rPr>
                <w:b/>
                <w:bCs/>
                <w:sz w:val="26"/>
                <w:szCs w:val="26"/>
              </w:rPr>
              <w:t>CỘNG HOÀ XÃ HỘI CHỦ NGHĨA VIỆT NAM</w:t>
            </w:r>
          </w:p>
          <w:p w:rsidR="003A35EA" w:rsidRPr="002A5269" w:rsidRDefault="003A35EA" w:rsidP="00F359E0">
            <w:pPr>
              <w:spacing w:before="20"/>
              <w:ind w:left="72"/>
              <w:jc w:val="center"/>
              <w:rPr>
                <w:b/>
                <w:bCs/>
                <w:sz w:val="27"/>
                <w:szCs w:val="27"/>
              </w:rPr>
            </w:pPr>
            <w:r w:rsidRPr="002A5269">
              <w:rPr>
                <w:b/>
                <w:bCs/>
                <w:sz w:val="27"/>
                <w:szCs w:val="27"/>
              </w:rPr>
              <w:t>Độc lập-Tự do-Hạnh phúc</w:t>
            </w:r>
          </w:p>
          <w:p w:rsidR="003A35EA" w:rsidRPr="002A5269" w:rsidRDefault="0022317F" w:rsidP="00F359E0">
            <w:pPr>
              <w:spacing w:before="120"/>
              <w:ind w:left="72"/>
              <w:jc w:val="center"/>
              <w:rPr>
                <w:i/>
                <w:iCs/>
                <w:sz w:val="12"/>
                <w:szCs w:val="26"/>
              </w:rPr>
            </w:pPr>
            <w:r w:rsidRPr="0022317F">
              <w:rPr>
                <w:noProof/>
                <w:sz w:val="14"/>
              </w:rPr>
              <w:pict>
                <v:line id="_x0000_s1027" style="position:absolute;left:0;text-align:left;z-index:251657728" from="79.75pt,2.15pt" to="228.1pt,2.15pt" strokeweight="1pt"/>
              </w:pict>
            </w:r>
          </w:p>
          <w:p w:rsidR="003A35EA" w:rsidRPr="002A5269" w:rsidRDefault="003A35EA" w:rsidP="00355C91">
            <w:pPr>
              <w:ind w:left="72"/>
              <w:jc w:val="center"/>
              <w:rPr>
                <w:rFonts w:ascii=".VnTime" w:hAnsi=".VnTime" w:cs=".VnTime"/>
                <w:b/>
                <w:bCs/>
                <w:i/>
                <w:iCs/>
              </w:rPr>
            </w:pPr>
            <w:r w:rsidRPr="002A5269">
              <w:rPr>
                <w:i/>
                <w:iCs/>
              </w:rPr>
              <w:t>Hà Nội, ngày</w:t>
            </w:r>
            <w:r w:rsidR="0022663B" w:rsidRPr="002A5269">
              <w:rPr>
                <w:i/>
                <w:iCs/>
              </w:rPr>
              <w:t xml:space="preserve"> </w:t>
            </w:r>
            <w:r w:rsidR="001C41D3">
              <w:rPr>
                <w:i/>
                <w:iCs/>
              </w:rPr>
              <w:t>2</w:t>
            </w:r>
            <w:r w:rsidR="00F40E10">
              <w:rPr>
                <w:i/>
                <w:iCs/>
              </w:rPr>
              <w:t>7</w:t>
            </w:r>
            <w:r w:rsidR="001C41D3">
              <w:rPr>
                <w:i/>
                <w:iCs/>
              </w:rPr>
              <w:t xml:space="preserve"> </w:t>
            </w:r>
            <w:r w:rsidRPr="002A5269">
              <w:rPr>
                <w:i/>
                <w:iCs/>
              </w:rPr>
              <w:t xml:space="preserve">tháng </w:t>
            </w:r>
            <w:r w:rsidR="006405D5">
              <w:rPr>
                <w:i/>
                <w:iCs/>
              </w:rPr>
              <w:t>4</w:t>
            </w:r>
            <w:r w:rsidRPr="002A5269">
              <w:rPr>
                <w:i/>
                <w:iCs/>
              </w:rPr>
              <w:t xml:space="preserve"> năm 201</w:t>
            </w:r>
            <w:r w:rsidR="00355C91">
              <w:rPr>
                <w:i/>
                <w:iCs/>
              </w:rPr>
              <w:t>8</w:t>
            </w:r>
          </w:p>
        </w:tc>
      </w:tr>
    </w:tbl>
    <w:p w:rsidR="003A35EA" w:rsidRPr="002A5269" w:rsidRDefault="003A35EA" w:rsidP="0016207C">
      <w:pPr>
        <w:spacing w:line="276" w:lineRule="auto"/>
        <w:jc w:val="center"/>
        <w:rPr>
          <w:rFonts w:ascii=".VnArialH" w:hAnsi=".VnArialH" w:cs=".VnArialH"/>
          <w:b/>
          <w:bCs/>
          <w:sz w:val="2"/>
          <w:szCs w:val="2"/>
        </w:rPr>
      </w:pPr>
    </w:p>
    <w:p w:rsidR="003A35EA" w:rsidRPr="00050B6D" w:rsidRDefault="003A35EA" w:rsidP="0016207C">
      <w:pPr>
        <w:jc w:val="center"/>
        <w:rPr>
          <w:b/>
          <w:bCs/>
          <w:sz w:val="34"/>
          <w:szCs w:val="48"/>
        </w:rPr>
      </w:pPr>
    </w:p>
    <w:p w:rsidR="00EE11BE" w:rsidRPr="00D81343" w:rsidRDefault="00EE11BE" w:rsidP="00234FB7">
      <w:pPr>
        <w:spacing w:before="20"/>
        <w:jc w:val="center"/>
        <w:rPr>
          <w:b/>
          <w:bCs/>
          <w:sz w:val="33"/>
          <w:szCs w:val="33"/>
        </w:rPr>
      </w:pPr>
      <w:r w:rsidRPr="00D81343">
        <w:rPr>
          <w:b/>
          <w:bCs/>
          <w:sz w:val="33"/>
          <w:szCs w:val="33"/>
        </w:rPr>
        <w:t>BÁO CÁO</w:t>
      </w:r>
    </w:p>
    <w:p w:rsidR="003A35EA" w:rsidRPr="00D81343" w:rsidRDefault="003A35EA" w:rsidP="00234FB7">
      <w:pPr>
        <w:spacing w:before="20"/>
        <w:jc w:val="center"/>
        <w:rPr>
          <w:b/>
          <w:bCs/>
          <w:sz w:val="33"/>
          <w:szCs w:val="33"/>
        </w:rPr>
      </w:pPr>
      <w:r w:rsidRPr="00D81343">
        <w:rPr>
          <w:b/>
          <w:bCs/>
          <w:sz w:val="33"/>
          <w:szCs w:val="33"/>
        </w:rPr>
        <w:t xml:space="preserve">TÌNH HÌNH KINH TẾ </w:t>
      </w:r>
      <w:r w:rsidRPr="00D81343">
        <w:rPr>
          <w:bCs/>
          <w:sz w:val="33"/>
          <w:szCs w:val="33"/>
        </w:rPr>
        <w:t>-</w:t>
      </w:r>
      <w:r w:rsidRPr="00D81343">
        <w:rPr>
          <w:b/>
          <w:bCs/>
          <w:sz w:val="33"/>
          <w:szCs w:val="33"/>
        </w:rPr>
        <w:t xml:space="preserve"> XÃ HỘI</w:t>
      </w:r>
      <w:r w:rsidR="007D03EE" w:rsidRPr="00D81343">
        <w:rPr>
          <w:b/>
          <w:bCs/>
          <w:sz w:val="33"/>
          <w:szCs w:val="33"/>
        </w:rPr>
        <w:t xml:space="preserve"> </w:t>
      </w:r>
      <w:r w:rsidR="007D03EE" w:rsidRPr="00D81343">
        <w:rPr>
          <w:b/>
          <w:bCs/>
          <w:sz w:val="33"/>
          <w:szCs w:val="33"/>
        </w:rPr>
        <w:br/>
      </w:r>
      <w:r w:rsidRPr="00D81343">
        <w:rPr>
          <w:b/>
          <w:bCs/>
          <w:sz w:val="33"/>
          <w:szCs w:val="33"/>
        </w:rPr>
        <w:t xml:space="preserve">THÁNG </w:t>
      </w:r>
      <w:r w:rsidR="006405D5">
        <w:rPr>
          <w:b/>
          <w:bCs/>
          <w:sz w:val="33"/>
          <w:szCs w:val="33"/>
        </w:rPr>
        <w:t>4</w:t>
      </w:r>
      <w:r w:rsidR="00F66F1C">
        <w:rPr>
          <w:b/>
          <w:bCs/>
          <w:sz w:val="33"/>
          <w:szCs w:val="33"/>
        </w:rPr>
        <w:t xml:space="preserve"> </w:t>
      </w:r>
      <w:r w:rsidR="00D81343" w:rsidRPr="00D81343">
        <w:rPr>
          <w:b/>
          <w:bCs/>
          <w:sz w:val="33"/>
          <w:szCs w:val="33"/>
        </w:rPr>
        <w:t xml:space="preserve">VÀ </w:t>
      </w:r>
      <w:r w:rsidR="006405D5">
        <w:rPr>
          <w:b/>
          <w:bCs/>
          <w:sz w:val="33"/>
          <w:szCs w:val="33"/>
        </w:rPr>
        <w:t>4</w:t>
      </w:r>
      <w:r w:rsidR="00D81343" w:rsidRPr="00D81343">
        <w:rPr>
          <w:b/>
          <w:bCs/>
          <w:sz w:val="33"/>
          <w:szCs w:val="33"/>
        </w:rPr>
        <w:t xml:space="preserve"> THÁNG ĐẦU</w:t>
      </w:r>
      <w:r w:rsidR="00132F80" w:rsidRPr="00D81343">
        <w:rPr>
          <w:b/>
          <w:bCs/>
          <w:sz w:val="33"/>
          <w:szCs w:val="33"/>
        </w:rPr>
        <w:t xml:space="preserve"> </w:t>
      </w:r>
      <w:r w:rsidR="00EF2957" w:rsidRPr="00D81343">
        <w:rPr>
          <w:b/>
          <w:bCs/>
          <w:sz w:val="33"/>
          <w:szCs w:val="33"/>
        </w:rPr>
        <w:t>NĂM 201</w:t>
      </w:r>
      <w:r w:rsidR="00355C91">
        <w:rPr>
          <w:b/>
          <w:bCs/>
          <w:sz w:val="33"/>
          <w:szCs w:val="33"/>
        </w:rPr>
        <w:t>8</w:t>
      </w:r>
    </w:p>
    <w:p w:rsidR="003A35EA" w:rsidRPr="00C66DD5" w:rsidRDefault="0022317F" w:rsidP="0016207C">
      <w:pPr>
        <w:spacing w:before="20"/>
        <w:jc w:val="center"/>
        <w:rPr>
          <w:rFonts w:ascii="Arial" w:hAnsi="Arial" w:cs="Arial"/>
          <w:b/>
          <w:bCs/>
          <w:sz w:val="50"/>
          <w:szCs w:val="52"/>
        </w:rPr>
      </w:pPr>
      <w:r w:rsidRPr="0022317F">
        <w:rPr>
          <w:rFonts w:ascii="Arial" w:hAnsi="Arial" w:cs="Arial"/>
          <w:b/>
          <w:bCs/>
          <w:noProof/>
          <w:sz w:val="62"/>
          <w:szCs w:val="52"/>
        </w:rPr>
        <w:pict>
          <v:shapetype id="_x0000_t32" coordsize="21600,21600" o:spt="32" o:oned="t" path="m,l21600,21600e" filled="f">
            <v:path arrowok="t" fillok="f" o:connecttype="none"/>
            <o:lock v:ext="edit" shapetype="t"/>
          </v:shapetype>
          <v:shape id="_x0000_s1028" type="#_x0000_t32" style="position:absolute;left:0;text-align:left;margin-left:168.2pt;margin-top:8.05pt;width:111.25pt;height:0;z-index:251658752" o:connectortype="straight"/>
        </w:pict>
      </w:r>
    </w:p>
    <w:p w:rsidR="003A35EA" w:rsidRPr="00190D72" w:rsidRDefault="00092A06" w:rsidP="00050B6D">
      <w:pPr>
        <w:spacing w:before="40" w:after="40" w:line="298" w:lineRule="auto"/>
        <w:ind w:firstLine="567"/>
        <w:jc w:val="both"/>
        <w:rPr>
          <w:b/>
          <w:bCs/>
          <w:lang w:val="pt-BR"/>
        </w:rPr>
      </w:pPr>
      <w:r w:rsidRPr="00190D72">
        <w:rPr>
          <w:b/>
          <w:bCs/>
          <w:lang w:val="pt-BR"/>
        </w:rPr>
        <w:t xml:space="preserve">1. </w:t>
      </w:r>
      <w:r w:rsidR="003A35EA" w:rsidRPr="00190D72">
        <w:rPr>
          <w:b/>
          <w:bCs/>
          <w:lang w:val="pt-BR"/>
        </w:rPr>
        <w:t>Sản xuất nông, lâm nghiệp</w:t>
      </w:r>
      <w:r w:rsidR="00BF3F7D" w:rsidRPr="00190D72">
        <w:rPr>
          <w:b/>
          <w:bCs/>
          <w:lang w:val="pt-BR"/>
        </w:rPr>
        <w:t xml:space="preserve"> và thủy</w:t>
      </w:r>
      <w:r w:rsidR="003A35EA" w:rsidRPr="00190D72">
        <w:rPr>
          <w:b/>
          <w:bCs/>
          <w:lang w:val="pt-BR"/>
        </w:rPr>
        <w:t xml:space="preserve"> sản</w:t>
      </w:r>
    </w:p>
    <w:p w:rsidR="0072454A" w:rsidRPr="00190D72" w:rsidRDefault="0072454A" w:rsidP="00050B6D">
      <w:pPr>
        <w:tabs>
          <w:tab w:val="left" w:pos="720"/>
        </w:tabs>
        <w:spacing w:before="40" w:after="40" w:line="298" w:lineRule="auto"/>
        <w:ind w:firstLine="567"/>
        <w:jc w:val="both"/>
        <w:rPr>
          <w:b/>
          <w:bCs/>
          <w:i/>
          <w:iCs/>
        </w:rPr>
      </w:pPr>
      <w:r w:rsidRPr="00190D72">
        <w:rPr>
          <w:b/>
          <w:bCs/>
          <w:i/>
          <w:iCs/>
        </w:rPr>
        <w:t>a. Nông nghiệp</w:t>
      </w:r>
    </w:p>
    <w:p w:rsidR="0072454A" w:rsidRPr="00190D72" w:rsidRDefault="0072454A" w:rsidP="00050B6D">
      <w:pPr>
        <w:spacing w:before="40" w:after="40" w:line="298" w:lineRule="auto"/>
        <w:ind w:firstLine="567"/>
        <w:jc w:val="both"/>
        <w:rPr>
          <w:lang w:val="pt-BR"/>
        </w:rPr>
      </w:pPr>
      <w:r w:rsidRPr="00190D72">
        <w:rPr>
          <w:lang w:val="pt-BR"/>
        </w:rPr>
        <w:t>Sản xuất nông nghiệp trong tháng tập trung vào chăm sóc cây trồng vụ đông xuân ở các địa phương phía Bắc; thu hoạch lúa, hoa màu vụ đông xuân và gieo trồng lúa hè thu ở các địa phương phía Nam. Tính đến ngày 15/4, cả nước gieo cấy được 3.121 nghìn ha lúa đông xu</w:t>
      </w:r>
      <w:r w:rsidR="00014A30" w:rsidRPr="00190D72">
        <w:rPr>
          <w:lang w:val="pt-BR"/>
        </w:rPr>
        <w:t>ân, bằng 100,2% cùng kỳ năm trước</w:t>
      </w:r>
      <w:r w:rsidRPr="00190D72">
        <w:rPr>
          <w:lang w:val="pt-BR"/>
        </w:rPr>
        <w:t xml:space="preserve">. Các địa phương phía Bắc đến nay cơ bản kết thúc gieo cấy với diện tích đạt 1.147,9 nghìn ha, bằng 100,3% cùng kỳ năm trước, trong đó vùng </w:t>
      </w:r>
      <w:r w:rsidR="00520C9C" w:rsidRPr="00190D72">
        <w:rPr>
          <w:lang w:val="pt-BR"/>
        </w:rPr>
        <w:t>Đ</w:t>
      </w:r>
      <w:r w:rsidRPr="00190D72">
        <w:rPr>
          <w:lang w:val="pt-BR"/>
        </w:rPr>
        <w:t>ồng bằng sông Hồng đạt 524,8 nghìn ha, bằng 97,9%</w:t>
      </w:r>
      <w:r w:rsidR="00D23C55" w:rsidRPr="00190D72">
        <w:rPr>
          <w:lang w:val="pt-BR"/>
        </w:rPr>
        <w:t xml:space="preserve"> (giảm 11,5 nghìn ha)</w:t>
      </w:r>
      <w:r w:rsidRPr="00190D72">
        <w:rPr>
          <w:lang w:val="pt-BR"/>
        </w:rPr>
        <w:t xml:space="preserve"> </w:t>
      </w:r>
      <w:r w:rsidRPr="00190D72">
        <w:rPr>
          <w:color w:val="000000"/>
          <w:lang w:val="pt-BR"/>
        </w:rPr>
        <w:t xml:space="preserve">do một số </w:t>
      </w:r>
      <w:r w:rsidRPr="00190D72">
        <w:t>địa phương chuyển</w:t>
      </w:r>
      <w:r w:rsidR="00D23C55" w:rsidRPr="00190D72">
        <w:t xml:space="preserve"> đổi một phần diện tích trồng lúa sang sử dụng cho mục đích khác</w:t>
      </w:r>
      <w:r w:rsidR="00D23C55" w:rsidRPr="00190D72">
        <w:rPr>
          <w:vertAlign w:val="superscript"/>
          <w:lang w:val="vi-VN"/>
        </w:rPr>
        <w:footnoteReference w:id="2"/>
      </w:r>
      <w:r w:rsidR="00E75836" w:rsidRPr="00190D72">
        <w:t>.</w:t>
      </w:r>
      <w:r w:rsidR="004F530D" w:rsidRPr="00190D72">
        <w:t xml:space="preserve"> </w:t>
      </w:r>
      <w:r w:rsidRPr="00190D72">
        <w:rPr>
          <w:lang w:val="pt-BR"/>
        </w:rPr>
        <w:t>Hiện nay thời tiết tương đối thuận lợi</w:t>
      </w:r>
      <w:r w:rsidR="004F530D" w:rsidRPr="00190D72">
        <w:rPr>
          <w:lang w:val="pt-BR"/>
        </w:rPr>
        <w:t>,</w:t>
      </w:r>
      <w:r w:rsidRPr="00190D72">
        <w:rPr>
          <w:lang w:val="pt-BR"/>
        </w:rPr>
        <w:t xml:space="preserve"> lúa đông xuân tại các địa phương phía Bắc sinh trưởng và phát triển tốt. </w:t>
      </w:r>
      <w:r w:rsidRPr="00190D72">
        <w:t xml:space="preserve">Các địa phương phía Nam gieo </w:t>
      </w:r>
      <w:r w:rsidR="00BE4E3E" w:rsidRPr="00190D72">
        <w:t>trồng</w:t>
      </w:r>
      <w:r w:rsidRPr="00190D72">
        <w:t xml:space="preserve"> được 1.973,1 nghìn ha</w:t>
      </w:r>
      <w:r w:rsidR="004F530D" w:rsidRPr="00190D72">
        <w:t xml:space="preserve"> lúa đông xuân</w:t>
      </w:r>
      <w:r w:rsidRPr="00190D72">
        <w:t>, bằng 100,2%</w:t>
      </w:r>
      <w:r w:rsidR="004F530D" w:rsidRPr="00190D72">
        <w:t xml:space="preserve"> cùng kỳ năm 2017</w:t>
      </w:r>
      <w:r w:rsidRPr="00190D72">
        <w:t>.</w:t>
      </w:r>
    </w:p>
    <w:p w:rsidR="0072454A" w:rsidRPr="00190D72" w:rsidRDefault="0072454A" w:rsidP="00050B6D">
      <w:pPr>
        <w:spacing w:before="40" w:after="40" w:line="298" w:lineRule="auto"/>
        <w:ind w:firstLine="567"/>
        <w:jc w:val="both"/>
        <w:rPr>
          <w:lang w:val="pt-BR"/>
        </w:rPr>
      </w:pPr>
      <w:r w:rsidRPr="00190D72">
        <w:rPr>
          <w:lang w:val="pt-BR"/>
        </w:rPr>
        <w:t>Đến trung tuần tháng Tư, các địa phương phía Nam đã thu hoạch được 1.525,1 nghìn ha lúa đông xuân, chiếm 77,3% diện tích xuống giống và bằng 94,1% cùng kỳ năm trước, trong đó vùng Đồng bằng sông Cửu Long đạt 1.401,4 nghìn ha, chiếm 89,1% và bằng 95,4%. Dự kiến đến đầu tháng Năm</w:t>
      </w:r>
      <w:r w:rsidR="002065EA" w:rsidRPr="00190D72">
        <w:rPr>
          <w:lang w:val="pt-BR"/>
        </w:rPr>
        <w:t>,</w:t>
      </w:r>
      <w:r w:rsidRPr="00190D72">
        <w:rPr>
          <w:lang w:val="pt-BR"/>
        </w:rPr>
        <w:t xml:space="preserve"> vùng Đồng bằng sông Cửu Long thu hoạch xong lúa đông xuân, các vùng còn lại tiếp tục thu hoạch đến cuối tháng Năm, đầu tháng Sáu. Theo báo cáo sơ bộ, năng suất lúa đông xuân vùng Đồng bằng sông Cửu Long năm nay ước tính đạt 67,1 tạ/ha, tăng 4,5 tạ/ha so với vụ đông xuân trước</w:t>
      </w:r>
      <w:r w:rsidRPr="00190D72">
        <w:rPr>
          <w:rStyle w:val="FootnoteReference"/>
          <w:lang w:val="pt-BR"/>
        </w:rPr>
        <w:footnoteReference w:id="3"/>
      </w:r>
      <w:r w:rsidRPr="00190D72">
        <w:rPr>
          <w:lang w:val="pt-BR"/>
        </w:rPr>
        <w:t>; sản lượng đạt gần 10,6 triệu tấn, tăng 668,1 nghìn tấn</w:t>
      </w:r>
      <w:r w:rsidRPr="00190D72">
        <w:rPr>
          <w:rStyle w:val="FootnoteReference"/>
          <w:lang w:val="pt-BR"/>
        </w:rPr>
        <w:footnoteReference w:id="4"/>
      </w:r>
      <w:r w:rsidRPr="00190D72">
        <w:rPr>
          <w:lang w:val="pt-BR"/>
        </w:rPr>
        <w:t xml:space="preserve">. </w:t>
      </w:r>
    </w:p>
    <w:p w:rsidR="0072454A" w:rsidRPr="00190D72" w:rsidRDefault="0072454A" w:rsidP="00190D72">
      <w:pPr>
        <w:spacing w:before="40" w:after="40" w:line="298" w:lineRule="auto"/>
        <w:ind w:firstLine="567"/>
        <w:jc w:val="both"/>
        <w:rPr>
          <w:lang w:val="pt-BR"/>
        </w:rPr>
      </w:pPr>
      <w:r w:rsidRPr="00190D72">
        <w:rPr>
          <w:lang w:val="pt-BR"/>
        </w:rPr>
        <w:lastRenderedPageBreak/>
        <w:t xml:space="preserve">Trên những diện tích lúa đông xuân đã thu hoạch, các địa phương </w:t>
      </w:r>
      <w:r w:rsidR="003616D1" w:rsidRPr="00190D72">
        <w:rPr>
          <w:lang w:val="pt-BR"/>
        </w:rPr>
        <w:t>tiến hành</w:t>
      </w:r>
      <w:r w:rsidRPr="00190D72">
        <w:rPr>
          <w:lang w:val="pt-BR"/>
        </w:rPr>
        <w:t xml:space="preserve"> vệ sinh đồng ruộng, cày ải, phơi đất để xuống giống vụ hè thu. Tính đến ngày 15/4, các địa phương phía Nam gieo sạ được 459,8 nghìn ha lúa hè thu, bằng 81,3% cùng kỳ năm trước, trong đó vùng </w:t>
      </w:r>
      <w:r w:rsidR="00520C9C" w:rsidRPr="00190D72">
        <w:rPr>
          <w:lang w:val="pt-BR"/>
        </w:rPr>
        <w:t>Đ</w:t>
      </w:r>
      <w:r w:rsidRPr="00190D72">
        <w:rPr>
          <w:lang w:val="pt-BR"/>
        </w:rPr>
        <w:t>ồng bằng sông Cửu Long đạt 453,1 nghìn ha, bằng 81,7%</w:t>
      </w:r>
      <w:r w:rsidR="003616D1" w:rsidRPr="00190D72">
        <w:rPr>
          <w:lang w:val="pt-BR"/>
        </w:rPr>
        <w:t>,</w:t>
      </w:r>
      <w:r w:rsidRPr="00190D72">
        <w:rPr>
          <w:lang w:val="pt-BR"/>
        </w:rPr>
        <w:t xml:space="preserve"> chủ yếu do ảnh hưởng </w:t>
      </w:r>
      <w:r w:rsidR="00520C9C" w:rsidRPr="00190D72">
        <w:rPr>
          <w:lang w:val="pt-BR"/>
        </w:rPr>
        <w:t>từ</w:t>
      </w:r>
      <w:r w:rsidRPr="00190D72">
        <w:rPr>
          <w:lang w:val="pt-BR"/>
        </w:rPr>
        <w:t xml:space="preserve"> tiến độ gieo trồng vụ đông xuân</w:t>
      </w:r>
      <w:r w:rsidR="00520C9C" w:rsidRPr="00190D72">
        <w:rPr>
          <w:lang w:val="pt-BR"/>
        </w:rPr>
        <w:t xml:space="preserve"> năm nay</w:t>
      </w:r>
      <w:r w:rsidRPr="00190D72">
        <w:rPr>
          <w:lang w:val="pt-BR"/>
        </w:rPr>
        <w:t xml:space="preserve"> ở một số vùng chậm hơn cùng kỳ. Dự báo vụ hè thu năm nay gặp khó khăn do thời tiết nắng nóng kéo dài nên ngành nông nghiệp cần quản lý chặt chẽ lịch thời vụ xuống giống, đồng thời đảm bảo nguồn nước tưới và theo dõi sát diễn biến tình hình sâu bệnh. </w:t>
      </w:r>
    </w:p>
    <w:p w:rsidR="0072454A" w:rsidRPr="00190D72" w:rsidRDefault="0072454A" w:rsidP="00190D72">
      <w:pPr>
        <w:spacing w:before="40" w:after="40" w:line="298" w:lineRule="auto"/>
        <w:ind w:firstLine="567"/>
        <w:jc w:val="both"/>
        <w:rPr>
          <w:lang w:val="pt-BR"/>
        </w:rPr>
      </w:pPr>
      <w:r w:rsidRPr="00190D72">
        <w:rPr>
          <w:lang w:val="pt-BR"/>
        </w:rPr>
        <w:t>Tính đến giữa tháng Tư, các địa phương trên cả nước đã gieo trồng được 416,7 nghìn ha ngô, bằng 96,3% cùng kỳ năm trước; 66,4 nghìn ha khoai lang, bằng 92,5%; 118,7 nghìn ha lạc, bằng 85,9%; 31,8 nghìn ha đậu tương, bằng 108,5%; 560,6 nghìn ha rau đậu, bằng 100,7%.</w:t>
      </w:r>
    </w:p>
    <w:p w:rsidR="0072454A" w:rsidRPr="00190D72" w:rsidRDefault="0072454A" w:rsidP="00190D72">
      <w:pPr>
        <w:spacing w:before="40" w:after="40" w:line="298" w:lineRule="auto"/>
        <w:ind w:firstLine="567"/>
        <w:jc w:val="both"/>
        <w:rPr>
          <w:lang w:val="pt-BR"/>
        </w:rPr>
      </w:pPr>
      <w:r w:rsidRPr="00190D72">
        <w:rPr>
          <w:lang w:val="pt-BR"/>
        </w:rPr>
        <w:t>Chăn nuôi</w:t>
      </w:r>
      <w:r w:rsidR="00394497" w:rsidRPr="00190D72">
        <w:rPr>
          <w:lang w:val="pt-BR"/>
        </w:rPr>
        <w:t xml:space="preserve"> trâu, bò trong tháng nhìn chung ổn định, chăn nuôi gia cầm đạt khá, riêng chăn nuôi lợn tiếp tục gặp khó khăn trong khâu tiêu thụ và giá cả. Ước tính tháng Tư, đàn trâu cả nước giảm 0,4% so với cùng kỳ năm trước; </w:t>
      </w:r>
      <w:r w:rsidRPr="00190D72">
        <w:rPr>
          <w:lang w:val="pt-BR"/>
        </w:rPr>
        <w:t>đàn bò tăng 2,9%</w:t>
      </w:r>
      <w:r w:rsidR="00394497" w:rsidRPr="00190D72">
        <w:rPr>
          <w:lang w:val="pt-BR"/>
        </w:rPr>
        <w:t>;</w:t>
      </w:r>
      <w:r w:rsidRPr="00190D72">
        <w:rPr>
          <w:lang w:val="pt-BR"/>
        </w:rPr>
        <w:t xml:space="preserve"> đàn gia cầm tăng 6,8%</w:t>
      </w:r>
      <w:r w:rsidR="00394497" w:rsidRPr="00190D72">
        <w:rPr>
          <w:lang w:val="pt-BR"/>
        </w:rPr>
        <w:t>; đàn lợn</w:t>
      </w:r>
      <w:r w:rsidRPr="00190D72">
        <w:rPr>
          <w:lang w:val="pt-BR"/>
        </w:rPr>
        <w:t xml:space="preserve"> giảm 5,8%</w:t>
      </w:r>
      <w:r w:rsidR="00394497" w:rsidRPr="00190D72">
        <w:rPr>
          <w:lang w:val="pt-BR"/>
        </w:rPr>
        <w:t>.</w:t>
      </w:r>
      <w:r w:rsidR="00A54567" w:rsidRPr="00190D72">
        <w:rPr>
          <w:lang w:val="pt-BR"/>
        </w:rPr>
        <w:t xml:space="preserve"> </w:t>
      </w:r>
      <w:r w:rsidRPr="00190D72">
        <w:rPr>
          <w:lang w:val="pt-BR"/>
        </w:rPr>
        <w:t>Tính đến ngày 2</w:t>
      </w:r>
      <w:r w:rsidR="00E304D8">
        <w:rPr>
          <w:lang w:val="pt-BR"/>
        </w:rPr>
        <w:t>5</w:t>
      </w:r>
      <w:r w:rsidRPr="00190D72">
        <w:rPr>
          <w:lang w:val="pt-BR"/>
        </w:rPr>
        <w:t>/4/2018, cả nước không còn dịch cúm gia cầm, dịch lợn tai xanh và dịch lở mồm long móng.</w:t>
      </w:r>
    </w:p>
    <w:p w:rsidR="0072454A" w:rsidRPr="00190D72" w:rsidRDefault="0072454A" w:rsidP="00190D72">
      <w:pPr>
        <w:tabs>
          <w:tab w:val="left" w:pos="720"/>
        </w:tabs>
        <w:spacing w:before="40" w:after="40" w:line="298" w:lineRule="auto"/>
        <w:ind w:firstLine="567"/>
        <w:jc w:val="both"/>
        <w:rPr>
          <w:b/>
          <w:bCs/>
          <w:i/>
          <w:iCs/>
        </w:rPr>
      </w:pPr>
      <w:r w:rsidRPr="00190D72">
        <w:rPr>
          <w:b/>
          <w:bCs/>
          <w:i/>
          <w:iCs/>
        </w:rPr>
        <w:t>b. Lâm nghiệp</w:t>
      </w:r>
    </w:p>
    <w:p w:rsidR="0072454A" w:rsidRPr="00190D72" w:rsidRDefault="0072454A" w:rsidP="00190D72">
      <w:pPr>
        <w:spacing w:before="40" w:after="40" w:line="298" w:lineRule="auto"/>
        <w:ind w:firstLine="567"/>
        <w:jc w:val="both"/>
        <w:rPr>
          <w:lang w:val="pt-BR"/>
        </w:rPr>
      </w:pPr>
      <w:r w:rsidRPr="00190D72">
        <w:rPr>
          <w:lang w:val="pt-BR"/>
        </w:rPr>
        <w:t>Trong tháng Tư, diện tích rừng trồng tập trung của cả nước ước tính đạt 19,6 nghìn ha, giảm 1,5% so với cùng kỳ năm trước; số cây lâm nghiệp trồng phân tán đạt 6,1 triệu cây, giảm 6,2%; sản lượng gỗ khai thác đạt 1</w:t>
      </w:r>
      <w:r w:rsidR="009B3A15" w:rsidRPr="00190D72">
        <w:rPr>
          <w:lang w:val="pt-BR"/>
        </w:rPr>
        <w:t>.</w:t>
      </w:r>
      <w:r w:rsidRPr="00190D72">
        <w:rPr>
          <w:lang w:val="pt-BR"/>
        </w:rPr>
        <w:t>097 nghìn m</w:t>
      </w:r>
      <w:r w:rsidRPr="00190D72">
        <w:rPr>
          <w:vertAlign w:val="superscript"/>
          <w:lang w:val="pt-BR"/>
        </w:rPr>
        <w:t>3</w:t>
      </w:r>
      <w:r w:rsidRPr="00190D72">
        <w:rPr>
          <w:lang w:val="pt-BR"/>
        </w:rPr>
        <w:t xml:space="preserve">, tăng 13%; sản lượng củi khai thác đạt 2,1 triệu ste, tương đương cùng kỳ năm 2017. Tính chung 4 tháng đầu năm, diện tích rừng trồng tập trung ước tính đạt 48,3 nghìn ha, giảm 0,2% so với cùng kỳ năm trước, trong đó một số tỉnh có diện tích giảm mạnh: </w:t>
      </w:r>
      <w:r w:rsidRPr="00190D72">
        <w:t>Hà Giang giảm 91,8%; Bắc Kạn giảm 85,7%; Thanh Hóa giảm 26%; Lạng Sơn giảm 18,8%. S</w:t>
      </w:r>
      <w:r w:rsidRPr="00190D72">
        <w:rPr>
          <w:lang w:val="pt-BR"/>
        </w:rPr>
        <w:t>ố cây lâm nghiệp trồng phân tán đạt 22,5 triệu cây, giảm 0,2%; sản lượng gỗ khai thác đạt 3.025 nghìn m</w:t>
      </w:r>
      <w:r w:rsidRPr="00190D72">
        <w:rPr>
          <w:vertAlign w:val="superscript"/>
          <w:lang w:val="pt-BR"/>
        </w:rPr>
        <w:t>3</w:t>
      </w:r>
      <w:r w:rsidRPr="00190D72">
        <w:rPr>
          <w:lang w:val="pt-BR"/>
        </w:rPr>
        <w:t>, tăng</w:t>
      </w:r>
      <w:r w:rsidRPr="00190D72">
        <w:rPr>
          <w:vertAlign w:val="superscript"/>
          <w:lang w:val="pt-BR"/>
        </w:rPr>
        <w:t xml:space="preserve"> </w:t>
      </w:r>
      <w:r w:rsidRPr="00190D72">
        <w:rPr>
          <w:lang w:val="pt-BR"/>
        </w:rPr>
        <w:t>9,6%; sản lượng củi khai thác đạt 9 triệu ste, tăng 0,6%.</w:t>
      </w:r>
    </w:p>
    <w:p w:rsidR="0072454A" w:rsidRPr="00190D72" w:rsidRDefault="0072454A" w:rsidP="00190D72">
      <w:pPr>
        <w:spacing w:before="40" w:after="40" w:line="298" w:lineRule="auto"/>
        <w:ind w:firstLine="567"/>
        <w:jc w:val="both"/>
        <w:rPr>
          <w:spacing w:val="-4"/>
          <w:lang w:val="pt-BR"/>
        </w:rPr>
      </w:pPr>
      <w:r w:rsidRPr="00190D72">
        <w:rPr>
          <w:rStyle w:val="normalchar"/>
          <w:spacing w:val="-4"/>
        </w:rPr>
        <w:t xml:space="preserve">Công tác bảo vệ, phòng chống cháy rừng tiếp tục được tăng cường. </w:t>
      </w:r>
      <w:r w:rsidRPr="00190D72">
        <w:rPr>
          <w:spacing w:val="-4"/>
          <w:lang w:val="pt-BR"/>
        </w:rPr>
        <w:t xml:space="preserve">Trong tháng Tư, cả nước có 114 ha rừng bị thiệt hại, giảm 47,5% so với cùng kỳ năm trước, trong đó diện tích rừng bị cháy là 39 ha, giảm 4,6%; diện tích rừng bị chặt phá là 75 ha, giảm 57,4%. Tính chung 4 tháng đầu năm nay, diện tích rừng bị thiệt hại là 308 ha, giảm 26,3% so với cùng kỳ năm trước, trong đó diện tích rừng bị cháy là 92 ha, giảm 33,8%; diện tích rừng bị </w:t>
      </w:r>
      <w:r w:rsidR="00520C9C" w:rsidRPr="00190D72">
        <w:rPr>
          <w:spacing w:val="-4"/>
          <w:lang w:val="pt-BR"/>
        </w:rPr>
        <w:t>chặt phá là 216 ha, giảm 22,6%.</w:t>
      </w:r>
    </w:p>
    <w:p w:rsidR="0072454A" w:rsidRPr="00190D72" w:rsidRDefault="0072454A" w:rsidP="00050B6D">
      <w:pPr>
        <w:spacing w:before="40" w:after="40" w:line="274" w:lineRule="auto"/>
        <w:ind w:firstLine="567"/>
        <w:jc w:val="both"/>
        <w:rPr>
          <w:b/>
          <w:bCs/>
          <w:i/>
          <w:iCs/>
          <w:lang w:val="nl-NL"/>
        </w:rPr>
      </w:pPr>
      <w:r w:rsidRPr="00190D72">
        <w:rPr>
          <w:b/>
          <w:bCs/>
          <w:i/>
          <w:iCs/>
          <w:lang w:val="nl-NL"/>
        </w:rPr>
        <w:lastRenderedPageBreak/>
        <w:t>c. Thủy sản</w:t>
      </w:r>
    </w:p>
    <w:p w:rsidR="0072454A" w:rsidRPr="00190D72" w:rsidRDefault="0072454A" w:rsidP="00050B6D">
      <w:pPr>
        <w:spacing w:before="40" w:after="40" w:line="274" w:lineRule="auto"/>
        <w:ind w:firstLine="567"/>
        <w:jc w:val="both"/>
        <w:rPr>
          <w:lang w:val="pt-BR"/>
        </w:rPr>
      </w:pPr>
      <w:r w:rsidRPr="00190D72">
        <w:rPr>
          <w:lang w:val="pt-BR"/>
        </w:rPr>
        <w:t>S</w:t>
      </w:r>
      <w:r w:rsidR="008120F6" w:rsidRPr="00190D72">
        <w:rPr>
          <w:lang w:val="pt-BR"/>
        </w:rPr>
        <w:t>ản lượng thủy</w:t>
      </w:r>
      <w:r w:rsidRPr="00190D72">
        <w:rPr>
          <w:lang w:val="pt-BR"/>
        </w:rPr>
        <w:t xml:space="preserve"> sản tháng Tư ước tính đạt 704,2 nghìn tấn, tăng 4,7% so với cùng kỳ năm trước, trong đó cá đạt 549,8 nghìn tấn, tăng 5%; tôm đạt 61,7 nghìn tấn, tăng 6,4%</w:t>
      </w:r>
      <w:r w:rsidR="008120F6" w:rsidRPr="00190D72">
        <w:rPr>
          <w:lang w:val="pt-BR"/>
        </w:rPr>
        <w:t>;</w:t>
      </w:r>
      <w:r w:rsidRPr="00190D72">
        <w:rPr>
          <w:lang w:val="pt-BR"/>
        </w:rPr>
        <w:t xml:space="preserve"> thủy sản khác đạt 92,7 nghìn tấn, tăng 2,1%. </w:t>
      </w:r>
    </w:p>
    <w:p w:rsidR="0072454A" w:rsidRPr="00190D72" w:rsidRDefault="0072454A" w:rsidP="00050B6D">
      <w:pPr>
        <w:spacing w:before="40" w:after="40" w:line="274" w:lineRule="auto"/>
        <w:ind w:firstLine="567"/>
        <w:jc w:val="both"/>
      </w:pPr>
      <w:r w:rsidRPr="00190D72">
        <w:rPr>
          <w:lang w:val="pt-BR"/>
        </w:rPr>
        <w:t>Sản lượng thủy sản nuôi trồng ước tính đạt 395,3 nghìn tấn, tăng 5,8% so với cùng kỳ năm trước, trong đó cá đạt 308,4 nghìn tấn, tăng 5,8%; tôm đạt 47,8 nghìn tấn, tăng 7,7%</w:t>
      </w:r>
      <w:r w:rsidR="008501CC">
        <w:rPr>
          <w:lang w:val="pt-BR"/>
        </w:rPr>
        <w:t>;</w:t>
      </w:r>
      <w:r w:rsidRPr="00190D72">
        <w:rPr>
          <w:lang w:val="pt-BR"/>
        </w:rPr>
        <w:t xml:space="preserve"> thủy sản khác đạt 39,1 nghìn tấn, tăng 4%. Nuôi cá tra gặp thuận lợi, giá cá tra liên tục ở mức cao, người nuôi đang có lãi. </w:t>
      </w:r>
      <w:r w:rsidRPr="00190D72">
        <w:t>Sản lượng cá tra trong tháng ước tính đạt 111 nghìn tấn, tăng 1,4% so với cùng kỳ năm trước, trong đó Đồng Tháp đạt 32 nghìn tấn, tăng 4,3%; An Giang đạt 24,8 nghìn tấn, tăng 5%; Cần Thơ đạt 16 nghìn tấn, giảm 0,6%.</w:t>
      </w:r>
      <w:r w:rsidR="008120F6" w:rsidRPr="00190D72">
        <w:t xml:space="preserve"> </w:t>
      </w:r>
      <w:r w:rsidRPr="00190D72">
        <w:t>Nuôi tôm</w:t>
      </w:r>
      <w:r w:rsidR="00F826E5" w:rsidRPr="00190D72">
        <w:t xml:space="preserve"> nước lợ</w:t>
      </w:r>
      <w:r w:rsidRPr="00190D72">
        <w:t xml:space="preserve"> những tháng đầu năm khá thuận lợi, giá tôm ổn định, mô hình nuôi tôm siêu thâm canh đang phát triển mạnh. Sản lượng tôm sú tháng Tư ước tính đạt 20 nghìn tấn, tăng 4,7% so với cùng kỳ năm trước; sản lượng tôm thẻ chân trắng ước tính đạt 22,8 nghìn tấn, tăng 9,1%.</w:t>
      </w:r>
    </w:p>
    <w:p w:rsidR="0072454A" w:rsidRPr="00190D72" w:rsidRDefault="0072454A" w:rsidP="00050B6D">
      <w:pPr>
        <w:pStyle w:val="BodyTextIndent3"/>
        <w:spacing w:before="40" w:after="40" w:line="274" w:lineRule="auto"/>
        <w:ind w:left="0" w:firstLine="567"/>
        <w:jc w:val="both"/>
        <w:rPr>
          <w:sz w:val="28"/>
          <w:szCs w:val="28"/>
        </w:rPr>
      </w:pPr>
      <w:r w:rsidRPr="00190D72">
        <w:rPr>
          <w:sz w:val="28"/>
          <w:szCs w:val="28"/>
        </w:rPr>
        <w:t>Sản lượng thủy sản khai thác tháng Tư ước tính đạt 308,9 nghìn tấn, tăng 3,3% so với cùng kỳ năm trước, trong đó cá đạt 241,4 nghìn tấn, tăng 3,9%; tôm đạt 13,9</w:t>
      </w:r>
      <w:r w:rsidR="006C58CE" w:rsidRPr="00190D72">
        <w:rPr>
          <w:sz w:val="28"/>
          <w:szCs w:val="28"/>
        </w:rPr>
        <w:t xml:space="preserve"> nghìn tấn</w:t>
      </w:r>
      <w:r w:rsidRPr="00190D72">
        <w:rPr>
          <w:sz w:val="28"/>
          <w:szCs w:val="28"/>
        </w:rPr>
        <w:t>, tăng 2,2%.</w:t>
      </w:r>
      <w:r w:rsidR="00F826E5" w:rsidRPr="00190D72">
        <w:rPr>
          <w:sz w:val="28"/>
          <w:szCs w:val="28"/>
        </w:rPr>
        <w:t xml:space="preserve"> Thời tiết trong tháng tương đối thuận lợi cho hoạt động khai thác biển,</w:t>
      </w:r>
      <w:r w:rsidRPr="00190D72">
        <w:rPr>
          <w:sz w:val="28"/>
          <w:szCs w:val="28"/>
        </w:rPr>
        <w:t xml:space="preserve"> </w:t>
      </w:r>
      <w:r w:rsidR="00F826E5" w:rsidRPr="00190D72">
        <w:rPr>
          <w:sz w:val="28"/>
          <w:szCs w:val="28"/>
        </w:rPr>
        <w:t>s</w:t>
      </w:r>
      <w:r w:rsidRPr="00190D72">
        <w:rPr>
          <w:sz w:val="28"/>
          <w:szCs w:val="28"/>
        </w:rPr>
        <w:t>ản lượng thủy sản khai thác biển đạt 294 nghìn tấn, tăng 3,4% so với cùng kỳ năm trước, trong đó cá đạt 231,4 nghìn tấn, tăng 4%; tôm đạt 12,8 nghìn tấn, tăng 2,4%.</w:t>
      </w:r>
    </w:p>
    <w:p w:rsidR="000B2507" w:rsidRPr="00600FA2" w:rsidRDefault="0072454A" w:rsidP="00050B6D">
      <w:pPr>
        <w:shd w:val="clear" w:color="auto" w:fill="FFFFFF"/>
        <w:spacing w:before="40" w:after="40" w:line="274" w:lineRule="auto"/>
        <w:ind w:firstLine="567"/>
        <w:jc w:val="both"/>
        <w:rPr>
          <w:spacing w:val="-4"/>
        </w:rPr>
      </w:pPr>
      <w:r w:rsidRPr="00600FA2">
        <w:rPr>
          <w:spacing w:val="-4"/>
        </w:rPr>
        <w:t>Tính chung 4 tháng đầu năm, sản lượng thủy sản ước tính đạt 2.090,6 nghìn tấn, tăng 4,5% so với cùng kỳ năm trước, trong đó sản lượng thủy sản nuôi trồng đạt 1.006,1 nghìn tấn, tăng 5,9%; sản lượng thủy sản khai thác đạt 1.084,5 nghìn tấn, tăng 3,2% (sản lượng khai thác biển đạt 1.034,8 nghìn tấn, tăng 3,3%).</w:t>
      </w:r>
    </w:p>
    <w:p w:rsidR="003A35EA" w:rsidRPr="00190D72" w:rsidRDefault="00B223A3" w:rsidP="00050B6D">
      <w:pPr>
        <w:spacing w:before="40" w:after="40" w:line="274" w:lineRule="auto"/>
        <w:ind w:firstLine="567"/>
        <w:jc w:val="both"/>
        <w:rPr>
          <w:b/>
          <w:bCs/>
          <w:lang w:val="pl-PL"/>
        </w:rPr>
      </w:pPr>
      <w:r w:rsidRPr="00190D72">
        <w:rPr>
          <w:b/>
          <w:bCs/>
          <w:lang w:val="pl-PL"/>
        </w:rPr>
        <w:t>2. Sản xuất công nghiệp</w:t>
      </w:r>
    </w:p>
    <w:p w:rsidR="00920C39" w:rsidRPr="00190D72" w:rsidRDefault="00920C39" w:rsidP="00050B6D">
      <w:pPr>
        <w:spacing w:before="40" w:after="40" w:line="274" w:lineRule="auto"/>
        <w:ind w:firstLine="567"/>
        <w:jc w:val="both"/>
        <w:rPr>
          <w:lang w:val="vi-VN"/>
        </w:rPr>
      </w:pPr>
      <w:r w:rsidRPr="008D0FA8">
        <w:rPr>
          <w:spacing w:val="-2"/>
          <w:lang w:val="vi-VN"/>
        </w:rPr>
        <w:t>Chỉ số sản xuất toàn ngành công nghiệp tháng Tư ước tính tăng 9,4%</w:t>
      </w:r>
      <w:r w:rsidR="00BF69D3" w:rsidRPr="008D0FA8">
        <w:rPr>
          <w:spacing w:val="-2"/>
        </w:rPr>
        <w:t xml:space="preserve"> so với</w:t>
      </w:r>
      <w:r w:rsidRPr="008D0FA8">
        <w:rPr>
          <w:spacing w:val="-2"/>
          <w:lang w:val="vi-VN"/>
        </w:rPr>
        <w:t> cùng kỳ năm trước, trong đó ngành chế biến, chế tạo tăng 12,3%;</w:t>
      </w:r>
      <w:r w:rsidR="00BF69D3" w:rsidRPr="008D0FA8">
        <w:rPr>
          <w:spacing w:val="-2"/>
        </w:rPr>
        <w:t xml:space="preserve"> sản xuất và </w:t>
      </w:r>
      <w:r w:rsidRPr="008D0FA8">
        <w:rPr>
          <w:spacing w:val="-2"/>
          <w:lang w:val="vi-VN"/>
        </w:rPr>
        <w:t>phân phối điện tăng 9,6%;</w:t>
      </w:r>
      <w:r w:rsidR="00BC062B" w:rsidRPr="008D0FA8">
        <w:rPr>
          <w:spacing w:val="-2"/>
        </w:rPr>
        <w:t xml:space="preserve"> cung cấp nước và </w:t>
      </w:r>
      <w:r w:rsidRPr="008D0FA8">
        <w:rPr>
          <w:spacing w:val="-2"/>
          <w:lang w:val="vi-VN"/>
        </w:rPr>
        <w:t>xử lý rác thải,</w:t>
      </w:r>
      <w:r w:rsidR="00BC062B" w:rsidRPr="008D0FA8">
        <w:rPr>
          <w:spacing w:val="-2"/>
        </w:rPr>
        <w:t xml:space="preserve"> nước thải</w:t>
      </w:r>
      <w:r w:rsidR="00BC062B" w:rsidRPr="008D0FA8">
        <w:rPr>
          <w:spacing w:val="-2"/>
          <w:lang w:val="vi-VN"/>
        </w:rPr>
        <w:t xml:space="preserve"> </w:t>
      </w:r>
      <w:r w:rsidRPr="008D0FA8">
        <w:rPr>
          <w:spacing w:val="-2"/>
          <w:lang w:val="vi-VN"/>
        </w:rPr>
        <w:t>tăng 2,6%;</w:t>
      </w:r>
      <w:r w:rsidRPr="00190D72">
        <w:rPr>
          <w:lang w:val="vi-VN"/>
        </w:rPr>
        <w:t xml:space="preserve"> khai khoáng giảm 5%. </w:t>
      </w:r>
    </w:p>
    <w:p w:rsidR="00920C39" w:rsidRPr="00190D72" w:rsidRDefault="00256661" w:rsidP="00050B6D">
      <w:pPr>
        <w:spacing w:before="40" w:after="40" w:line="274" w:lineRule="auto"/>
        <w:ind w:firstLine="567"/>
        <w:jc w:val="both"/>
        <w:rPr>
          <w:lang w:val="vi-VN"/>
        </w:rPr>
      </w:pPr>
      <w:r w:rsidRPr="00190D72">
        <w:rPr>
          <w:lang w:val="vi-VN"/>
        </w:rPr>
        <w:t>Tính chung 4 tháng đầu năm 2018, chỉ số sản xuất toàn ngành công nghiệp tăng 11,4% so với cùng kỳ năm trước, cao hơn mức tăng 6,6% của</w:t>
      </w:r>
      <w:r w:rsidR="00190D72">
        <w:t xml:space="preserve"> cùng kỳ năm 2017</w:t>
      </w:r>
      <w:r w:rsidRPr="00190D72">
        <w:rPr>
          <w:vertAlign w:val="superscript"/>
          <w:lang w:val="vi-VN"/>
        </w:rPr>
        <w:footnoteReference w:id="5"/>
      </w:r>
      <w:r w:rsidRPr="00190D72">
        <w:rPr>
          <w:lang w:val="vi-VN"/>
        </w:rPr>
        <w:t>.</w:t>
      </w:r>
      <w:r w:rsidR="00190D72">
        <w:t xml:space="preserve"> Trong đó, ngành chế biến, chế tạo tiếp tục tăng trưởng cao 14%, đóng góp 10,6 điểm phần trăm vào mức tăng chung</w:t>
      </w:r>
      <w:r w:rsidRPr="00190D72">
        <w:rPr>
          <w:lang w:val="vi-VN"/>
        </w:rPr>
        <w:t>; ngành sản xuất và phân phối điện</w:t>
      </w:r>
      <w:r w:rsidRPr="00190D72">
        <w:t xml:space="preserve"> tăng 9,7%</w:t>
      </w:r>
      <w:r w:rsidRPr="00190D72">
        <w:rPr>
          <w:lang w:val="vi-VN"/>
        </w:rPr>
        <w:t>,</w:t>
      </w:r>
      <w:r w:rsidRPr="00190D72">
        <w:t xml:space="preserve"> đóng góp </w:t>
      </w:r>
      <w:r w:rsidRPr="00190D72">
        <w:rPr>
          <w:lang w:val="vi-VN"/>
        </w:rPr>
        <w:t>0,9 điểm phần trăm; ngành cung cấp nước và</w:t>
      </w:r>
      <w:r w:rsidR="00F4796B" w:rsidRPr="00190D72">
        <w:t xml:space="preserve"> xử lý rác thải</w:t>
      </w:r>
      <w:r w:rsidRPr="00190D72">
        <w:rPr>
          <w:lang w:val="vi-VN"/>
        </w:rPr>
        <w:t>,</w:t>
      </w:r>
      <w:r w:rsidR="00F4796B" w:rsidRPr="00190D72">
        <w:t xml:space="preserve"> nước thải </w:t>
      </w:r>
      <w:r w:rsidRPr="00190D72">
        <w:rPr>
          <w:lang w:val="vi-VN"/>
        </w:rPr>
        <w:t>tăng 5,5%,</w:t>
      </w:r>
      <w:r w:rsidR="00F4796B" w:rsidRPr="00190D72">
        <w:t xml:space="preserve"> đóng góp 0,1 điểm phần trăm; ngành khai khoáng giảm 1,2%, làm giảm</w:t>
      </w:r>
      <w:r w:rsidRPr="00190D72">
        <w:rPr>
          <w:lang w:val="vi-VN"/>
        </w:rPr>
        <w:t> 0,2 điểm phần trăm mức tăng chung.</w:t>
      </w:r>
    </w:p>
    <w:p w:rsidR="00920C39" w:rsidRPr="00190D72" w:rsidRDefault="00920C39" w:rsidP="00092690">
      <w:pPr>
        <w:spacing w:before="40" w:after="40" w:line="259" w:lineRule="auto"/>
        <w:ind w:firstLine="567"/>
        <w:jc w:val="both"/>
        <w:rPr>
          <w:lang w:val="vi-VN"/>
        </w:rPr>
      </w:pPr>
      <w:r w:rsidRPr="00190D72">
        <w:rPr>
          <w:lang w:val="vi-VN"/>
        </w:rPr>
        <w:lastRenderedPageBreak/>
        <w:t>Trong các ngành công nghiệp cấp II, một số ngành có chỉ số sản xuất 4 tháng đầu</w:t>
      </w:r>
      <w:r w:rsidR="00464105" w:rsidRPr="00190D72">
        <w:rPr>
          <w:lang w:val="vi-VN"/>
        </w:rPr>
        <w:t xml:space="preserve"> năm</w:t>
      </w:r>
      <w:r w:rsidRPr="00190D72">
        <w:rPr>
          <w:lang w:val="vi-VN"/>
        </w:rPr>
        <w:t xml:space="preserve"> tăng cao so với cùng kỳ năm trước: Sản xuất sản phẩm điện tử,</w:t>
      </w:r>
      <w:r w:rsidR="00600FA2">
        <w:t xml:space="preserve"> máy vi tính và sản phẩm quang học tăng 26,6%; sản xuất kim loại tăng 16,3%</w:t>
      </w:r>
      <w:r w:rsidRPr="00190D72">
        <w:rPr>
          <w:lang w:val="vi-VN"/>
        </w:rPr>
        <w:t>;</w:t>
      </w:r>
      <w:r w:rsidR="00600FA2">
        <w:t xml:space="preserve"> </w:t>
      </w:r>
      <w:r w:rsidR="00464105" w:rsidRPr="00190D72">
        <w:rPr>
          <w:lang w:val="vi-VN"/>
        </w:rPr>
        <w:t xml:space="preserve">sản xuất </w:t>
      </w:r>
      <w:r w:rsidRPr="00190D72">
        <w:rPr>
          <w:lang w:val="vi-VN"/>
        </w:rPr>
        <w:t>sản phẩm từ kim loại đúc sẵn (trừ máy móc, thiết bị) tăng 15,2%; sản xuất giường, tủ, bàn</w:t>
      </w:r>
      <w:r w:rsidR="00464105" w:rsidRPr="00190D72">
        <w:rPr>
          <w:lang w:val="vi-VN"/>
        </w:rPr>
        <w:t>,</w:t>
      </w:r>
      <w:r w:rsidRPr="00190D72">
        <w:rPr>
          <w:lang w:val="vi-VN"/>
        </w:rPr>
        <w:t xml:space="preserve"> ghế tăng 14,9%; sản xuất thuốc, hóa dược và dược liệu tăng 14,1%. Một số ngành có mức tăng thấp hoặc giảm: Sản xuất hóa chất và sản phẩm hóa chất tăng 4,8%; khai thác than cứng và than non tăng 4,4%; sản xuất thuốc lá tăng 3,5%; sản xuất sản phẩm từ cao su và plastic tăng 2,9%; hoạt động thu gom, xử lý và tiêu hủy rác thải, tái chế phế liệu tăng 2,7%; sản xuất than cốc, sản phẩm dầu mỏ tinh chế tăng 1,4%; khai khoáng khác</w:t>
      </w:r>
      <w:r w:rsidR="00D54D51" w:rsidRPr="00190D72">
        <w:rPr>
          <w:lang w:val="vi-VN"/>
        </w:rPr>
        <w:t xml:space="preserve"> (đá, cát, sỏi…)</w:t>
      </w:r>
      <w:r w:rsidRPr="00190D72">
        <w:rPr>
          <w:lang w:val="vi-VN"/>
        </w:rPr>
        <w:t xml:space="preserve"> tăng 0,3%; </w:t>
      </w:r>
      <w:bookmarkStart w:id="0" w:name="_GoBack"/>
      <w:bookmarkEnd w:id="0"/>
      <w:r w:rsidRPr="00190D72">
        <w:rPr>
          <w:lang w:val="vi-VN"/>
        </w:rPr>
        <w:t>khai thác dầu thô và khí đốt tự nhiên giảm 3,4% (khai thác dầu thô giảm 9,4%</w:t>
      </w:r>
      <w:r w:rsidR="00D54D51" w:rsidRPr="00190D72">
        <w:rPr>
          <w:lang w:val="vi-VN"/>
        </w:rPr>
        <w:t xml:space="preserve"> và</w:t>
      </w:r>
      <w:r w:rsidRPr="00190D72">
        <w:rPr>
          <w:lang w:val="vi-VN"/>
        </w:rPr>
        <w:t xml:space="preserve"> khai thác khí đốt tự nhiên tăng 3,1%).</w:t>
      </w:r>
    </w:p>
    <w:p w:rsidR="00920C39" w:rsidRPr="00190D72" w:rsidRDefault="00920C39" w:rsidP="00D66893">
      <w:pPr>
        <w:spacing w:before="40" w:after="40" w:line="264" w:lineRule="auto"/>
        <w:ind w:firstLine="567"/>
        <w:jc w:val="both"/>
        <w:rPr>
          <w:lang w:val="vi-VN"/>
        </w:rPr>
      </w:pPr>
      <w:r w:rsidRPr="00190D72">
        <w:rPr>
          <w:lang w:val="vi-VN"/>
        </w:rPr>
        <w:t>Một số sản phẩm công nghiệp chủ yếu 4 tháng đầu năm tăng cao so với cùng kỳ năm trước: Sắt thép thô tăng 38,2%; vải dệt từ sợi tổng hợp</w:t>
      </w:r>
      <w:r w:rsidR="00D54D51" w:rsidRPr="00190D72">
        <w:rPr>
          <w:lang w:val="vi-VN"/>
        </w:rPr>
        <w:t xml:space="preserve"> hoặc</w:t>
      </w:r>
      <w:r w:rsidRPr="00190D72">
        <w:rPr>
          <w:lang w:val="vi-VN"/>
        </w:rPr>
        <w:t xml:space="preserve"> sợi nhân tạo tăng 26,2%; sữa bột tăng 20,7%; thức ăn cho thủy sản tăng 19%; t</w:t>
      </w:r>
      <w:r w:rsidR="00D54D51" w:rsidRPr="00190D72">
        <w:rPr>
          <w:lang w:val="vi-VN"/>
        </w:rPr>
        <w:t>i vi</w:t>
      </w:r>
      <w:r w:rsidRPr="00190D72">
        <w:rPr>
          <w:lang w:val="vi-VN"/>
        </w:rPr>
        <w:t xml:space="preserve"> tăng 17,5%; thủy hải sản chế biến tăng 11,8%. Một số sản phẩm tăng thấp hoặc giảm: Khí đốt thiên nhiên dạng khí tăng 3,1%; bột ngọt tăng 2,9%; dầu gội</w:t>
      </w:r>
      <w:r w:rsidR="00D54D51" w:rsidRPr="00190D72">
        <w:rPr>
          <w:lang w:val="vi-VN"/>
        </w:rPr>
        <w:t xml:space="preserve"> đầu</w:t>
      </w:r>
      <w:r w:rsidRPr="00190D72">
        <w:rPr>
          <w:lang w:val="vi-VN"/>
        </w:rPr>
        <w:t xml:space="preserve">, dầu xả tăng 2,8%; điện thoại di động tăng 2,6%; sữa tươi giảm 0,5%; thức ăn </w:t>
      </w:r>
      <w:r w:rsidR="00500D7A" w:rsidRPr="00190D72">
        <w:rPr>
          <w:lang w:val="vi-VN"/>
        </w:rPr>
        <w:t xml:space="preserve">cho </w:t>
      </w:r>
      <w:r w:rsidRPr="00190D72">
        <w:rPr>
          <w:lang w:val="vi-VN"/>
        </w:rPr>
        <w:t>gia súc giảm 1,9%; phân u rê giảm 3,8%; sữa tắm, sữa rửa mặt giảm 5,4%; dầu</w:t>
      </w:r>
      <w:r w:rsidR="00500D7A" w:rsidRPr="00190D72">
        <w:rPr>
          <w:lang w:val="vi-VN"/>
        </w:rPr>
        <w:t xml:space="preserve"> mỏ</w:t>
      </w:r>
      <w:r w:rsidRPr="00190D72">
        <w:rPr>
          <w:lang w:val="vi-VN"/>
        </w:rPr>
        <w:t xml:space="preserve"> thô khai thác giảm 9,4%.</w:t>
      </w:r>
    </w:p>
    <w:p w:rsidR="00920C39" w:rsidRPr="00BF69D3" w:rsidRDefault="00920C39" w:rsidP="00D66893">
      <w:pPr>
        <w:spacing w:before="40" w:after="40" w:line="264" w:lineRule="auto"/>
        <w:ind w:firstLine="567"/>
        <w:jc w:val="both"/>
        <w:rPr>
          <w:spacing w:val="-4"/>
          <w:lang w:val="vi-VN"/>
        </w:rPr>
      </w:pPr>
      <w:r w:rsidRPr="00BF69D3">
        <w:rPr>
          <w:spacing w:val="-4"/>
          <w:lang w:val="vi-VN"/>
        </w:rPr>
        <w:t>Chỉ số sản xuất công nghiệp 4 tháng đầu năm 2018 của 63 tỉnh, thành phố  trực thuộc Trung ương đều tăng so với cùng kỳ năm trước, trong đó</w:t>
      </w:r>
      <w:r w:rsidR="00500D7A" w:rsidRPr="00BF69D3">
        <w:rPr>
          <w:spacing w:val="-4"/>
          <w:lang w:val="vi-VN"/>
        </w:rPr>
        <w:t xml:space="preserve"> chỉ số sản xuất của</w:t>
      </w:r>
      <w:r w:rsidRPr="00BF69D3">
        <w:rPr>
          <w:spacing w:val="-4"/>
          <w:lang w:val="vi-VN"/>
        </w:rPr>
        <w:t xml:space="preserve"> một số địa phương có quy mô công nghiệp lớn như sau: Bắc Ninh</w:t>
      </w:r>
      <w:r w:rsidR="00256661" w:rsidRPr="00BF69D3">
        <w:rPr>
          <w:spacing w:val="-4"/>
        </w:rPr>
        <w:t xml:space="preserve"> tăng </w:t>
      </w:r>
      <w:r w:rsidRPr="00BF69D3">
        <w:rPr>
          <w:spacing w:val="-4"/>
          <w:lang w:val="vi-VN"/>
        </w:rPr>
        <w:t>33,4%; Hải Phòng tăng 24%; Vĩnh Phúc tăng 13,5%; Thái Nguyên tăng 12,1%; Hải Dương tăng 10,7%; Hà Nội và Đồng Nai cùng tăng 8,1%; Đà Nẵng tăng 8%; Bình Dương tăng 7,9%; Cần Thơ tăng 7,3%; Quảng Ninh tăng 6,5%; thành phố Hồ Chí Minh tăng 6,1%;  Bà Rịa - Vũng Tàu tăng 3,8%; Quảng Nam tăng 1,2%.</w:t>
      </w:r>
    </w:p>
    <w:p w:rsidR="00920C39" w:rsidRPr="00190D72" w:rsidRDefault="00920C39" w:rsidP="00D66893">
      <w:pPr>
        <w:spacing w:before="40" w:after="40" w:line="264" w:lineRule="auto"/>
        <w:ind w:firstLine="567"/>
        <w:jc w:val="both"/>
        <w:rPr>
          <w:lang w:val="vi-VN"/>
        </w:rPr>
      </w:pPr>
      <w:r w:rsidRPr="00190D72">
        <w:rPr>
          <w:lang w:val="vi-VN"/>
        </w:rPr>
        <w:t>Số lao động đang làm việc trong các doanh nghiệp công nghiệp tại thời điểm 1/4/2018 tăng 3,9% so với cùng thời điểm năm trước, trong đó lao động khu vực doanh nghiệp Nhà nước giảm 1,1%; doanh nghiệp ngoài Nhà nước tăng 4,3%; doanh nghiệp có vốn đầu tư trực tiếp nước ngoài tăng 4,5%. Tại thời điểm trên, số lao động làm việc trong các doanh nghiệp ngành khai khoáng giảm 1,8% so với cùng thời điểm năm trước; ngành chế biến, chế tạo tăng 4,2%; sản xuất và phân phối điện tăng 0,8%; cung cấp nước, xử lý rác thải, nước thải giảm 0,2%.</w:t>
      </w:r>
    </w:p>
    <w:p w:rsidR="001D7D63" w:rsidRPr="00092690" w:rsidRDefault="00920C39" w:rsidP="00D66893">
      <w:pPr>
        <w:spacing w:before="40" w:after="40" w:line="264" w:lineRule="auto"/>
        <w:ind w:firstLine="567"/>
        <w:jc w:val="both"/>
        <w:rPr>
          <w:spacing w:val="-2"/>
          <w:lang w:val="vi-VN"/>
        </w:rPr>
      </w:pPr>
      <w:r w:rsidRPr="00092690">
        <w:rPr>
          <w:spacing w:val="-2"/>
          <w:lang w:val="vi-VN"/>
        </w:rPr>
        <w:t>Lao động trong các doanh nghiệp công nghiệp tại thời điểm 1/4/2018 so với cùng thời điểm năm trước của một số địa phương có quy mô công nghiệp lớn như sau: Cần Thơ tăng 22,9%; Hải Phòng tăng 16,3%;</w:t>
      </w:r>
      <w:r w:rsidR="00092690" w:rsidRPr="00092690">
        <w:rPr>
          <w:spacing w:val="-2"/>
        </w:rPr>
        <w:t xml:space="preserve"> Bắc Ninh tăng 13,6%</w:t>
      </w:r>
      <w:r w:rsidRPr="00092690">
        <w:rPr>
          <w:spacing w:val="-2"/>
          <w:lang w:val="vi-VN"/>
        </w:rPr>
        <w:t xml:space="preserve">; </w:t>
      </w:r>
      <w:r w:rsidRPr="008D0FA8">
        <w:rPr>
          <w:spacing w:val="10"/>
          <w:lang w:val="vi-VN"/>
        </w:rPr>
        <w:t>Thái Nguyên tăng 7,9%; Bình Dương tăng 6,8%; Đồng Nai</w:t>
      </w:r>
      <w:r w:rsidR="00092690" w:rsidRPr="008D0FA8">
        <w:rPr>
          <w:spacing w:val="10"/>
        </w:rPr>
        <w:t xml:space="preserve"> tăng 5,3%</w:t>
      </w:r>
      <w:r w:rsidRPr="008D0FA8">
        <w:rPr>
          <w:spacing w:val="10"/>
          <w:lang w:val="vi-VN"/>
        </w:rPr>
        <w:t>;</w:t>
      </w:r>
      <w:r w:rsidR="00092690" w:rsidRPr="00092690">
        <w:rPr>
          <w:spacing w:val="-2"/>
        </w:rPr>
        <w:t xml:space="preserve"> </w:t>
      </w:r>
      <w:r w:rsidRPr="00092690">
        <w:rPr>
          <w:spacing w:val="-2"/>
          <w:lang w:val="vi-VN"/>
        </w:rPr>
        <w:t>Hải Dương tăng 4,1%; Đà Nẵng tăng 1,6%; thành phố Hồ Chí Minh tăng 0,4%; Bà Rịa - Vũng Tàu giảm 4%.</w:t>
      </w:r>
    </w:p>
    <w:p w:rsidR="004908F8" w:rsidRPr="00190D72" w:rsidRDefault="004908F8" w:rsidP="00092690">
      <w:pPr>
        <w:spacing w:before="40" w:after="40" w:line="278" w:lineRule="auto"/>
        <w:ind w:right="-11" w:firstLine="567"/>
        <w:jc w:val="both"/>
        <w:rPr>
          <w:lang w:val="it-IT"/>
        </w:rPr>
      </w:pPr>
      <w:r w:rsidRPr="00190D72">
        <w:rPr>
          <w:b/>
          <w:bCs/>
        </w:rPr>
        <w:lastRenderedPageBreak/>
        <w:t>3. Tình hình đăng ký doanh nghiệp</w:t>
      </w:r>
      <w:r w:rsidR="00355C91" w:rsidRPr="00190D72">
        <w:rPr>
          <w:rStyle w:val="FootnoteReference"/>
          <w:b/>
          <w:bCs/>
        </w:rPr>
        <w:footnoteReference w:id="6"/>
      </w:r>
      <w:r w:rsidRPr="00190D72">
        <w:rPr>
          <w:lang w:val="it-IT"/>
        </w:rPr>
        <w:t xml:space="preserve"> </w:t>
      </w:r>
    </w:p>
    <w:p w:rsidR="006143FA" w:rsidRPr="006143FA" w:rsidRDefault="006143FA" w:rsidP="00D66893">
      <w:pPr>
        <w:spacing w:before="40" w:after="40" w:line="283" w:lineRule="auto"/>
        <w:ind w:firstLine="567"/>
        <w:jc w:val="both"/>
        <w:rPr>
          <w:lang w:val="it-IT"/>
        </w:rPr>
      </w:pPr>
      <w:r w:rsidRPr="006143FA">
        <w:rPr>
          <w:lang w:val="it-IT"/>
        </w:rPr>
        <w:t>Trong tháng Tư, cả nước có 14.510 doanh nghiệp thành lập mới với số vốn đăng ký là 133,5 nghìn tỷ đồng, tăng 79,5% về số doanh nghiệp và tăng 64,5% về số vốn đăng ký so với tháng trước</w:t>
      </w:r>
      <w:r w:rsidRPr="006143FA">
        <w:rPr>
          <w:rStyle w:val="FootnoteReference"/>
          <w:bCs/>
        </w:rPr>
        <w:footnoteReference w:id="7"/>
      </w:r>
      <w:r w:rsidRPr="006143FA">
        <w:rPr>
          <w:lang w:val="it-IT"/>
        </w:rPr>
        <w:t xml:space="preserve">; vốn đăng ký bình quân một doanh nghiệp đạt 9,2 tỷ đồng, giảm 8,3%; tổng số lao động đăng ký trong tháng của các doanh nghiệp thành lập mới gần 106,7 nghìn người, tăng 54,7%. </w:t>
      </w:r>
    </w:p>
    <w:p w:rsidR="006143FA" w:rsidRPr="006143FA" w:rsidRDefault="006143FA" w:rsidP="00D66893">
      <w:pPr>
        <w:spacing w:before="40" w:after="40" w:line="283" w:lineRule="auto"/>
        <w:ind w:firstLine="567"/>
        <w:jc w:val="both"/>
        <w:rPr>
          <w:lang w:val="it-IT"/>
        </w:rPr>
      </w:pPr>
      <w:r w:rsidRPr="006143FA">
        <w:rPr>
          <w:lang w:val="it-IT"/>
        </w:rPr>
        <w:t xml:space="preserve">Trong tháng, cả nước có 3.281 doanh nghiệp quay trở lại hoạt động, tăng 82,2% so với tháng trước; có </w:t>
      </w:r>
      <w:r w:rsidR="00000A13">
        <w:rPr>
          <w:lang w:val="it-IT"/>
        </w:rPr>
        <w:t>6.138</w:t>
      </w:r>
      <w:r w:rsidRPr="006143FA">
        <w:rPr>
          <w:lang w:val="it-IT"/>
        </w:rPr>
        <w:t xml:space="preserve"> doanh nghiệp tạm ngừng hoạt động (bao gồm: </w:t>
      </w:r>
      <w:r w:rsidR="00000A13">
        <w:rPr>
          <w:lang w:val="it-IT"/>
        </w:rPr>
        <w:t xml:space="preserve"> 2.191</w:t>
      </w:r>
      <w:r w:rsidRPr="006143FA">
        <w:rPr>
          <w:lang w:val="it-IT"/>
        </w:rPr>
        <w:t xml:space="preserve"> doanh nghiệp đăng ký tạm ngừng kinh doanh có thời hạn và </w:t>
      </w:r>
      <w:r w:rsidR="00000A13">
        <w:rPr>
          <w:lang w:val="it-IT"/>
        </w:rPr>
        <w:t>3.947</w:t>
      </w:r>
      <w:r w:rsidRPr="006143FA">
        <w:rPr>
          <w:lang w:val="it-IT"/>
        </w:rPr>
        <w:t xml:space="preserve"> doanh nghiệp tạm ngừng hoạt động không đăng ký hoặc chờ giải thể), </w:t>
      </w:r>
      <w:r w:rsidR="00000A13">
        <w:rPr>
          <w:lang w:val="it-IT"/>
        </w:rPr>
        <w:t>tăng 71,3</w:t>
      </w:r>
      <w:r w:rsidRPr="006143FA">
        <w:rPr>
          <w:lang w:val="it-IT"/>
        </w:rPr>
        <w:t xml:space="preserve">%; có </w:t>
      </w:r>
      <w:r w:rsidR="00000A13">
        <w:rPr>
          <w:lang w:val="it-IT"/>
        </w:rPr>
        <w:t>1.378</w:t>
      </w:r>
      <w:r w:rsidRPr="006143FA">
        <w:rPr>
          <w:lang w:val="it-IT"/>
        </w:rPr>
        <w:t xml:space="preserve"> doanh nghiệp hoàn tất thủ tục giải thể, </w:t>
      </w:r>
      <w:r w:rsidR="00000A13">
        <w:rPr>
          <w:lang w:val="it-IT"/>
        </w:rPr>
        <w:t>tăng 74</w:t>
      </w:r>
      <w:r w:rsidRPr="006143FA">
        <w:rPr>
          <w:lang w:val="it-IT"/>
        </w:rPr>
        <w:t>%.</w:t>
      </w:r>
    </w:p>
    <w:p w:rsidR="006143FA" w:rsidRPr="006143FA" w:rsidRDefault="006143FA" w:rsidP="00D66893">
      <w:pPr>
        <w:spacing w:before="40" w:after="40" w:line="283" w:lineRule="auto"/>
        <w:ind w:firstLine="567"/>
        <w:jc w:val="both"/>
        <w:rPr>
          <w:lang w:val="it-IT"/>
        </w:rPr>
      </w:pPr>
      <w:r w:rsidRPr="006143FA">
        <w:rPr>
          <w:lang w:val="it-IT"/>
        </w:rPr>
        <w:t>Tính chung 4 tháng đầu năm nay, cả nước có 41.295 doanh nghiệp đăng ký thành lập mới với tổng vốn đăng ký là 412 nghìn tỷ đồng, tăng 4,3% về số doanh nghiệp và tăng 11,5% về số vốn đăng ký so với cùng kỳ năm 2017</w:t>
      </w:r>
      <w:r w:rsidRPr="006143FA">
        <w:rPr>
          <w:rStyle w:val="FootnoteReference"/>
          <w:lang w:val="it-IT"/>
        </w:rPr>
        <w:footnoteReference w:id="8"/>
      </w:r>
      <w:r w:rsidRPr="006143FA">
        <w:rPr>
          <w:lang w:val="it-IT"/>
        </w:rPr>
        <w:t xml:space="preserve">; vốn đăng ký bình quân một doanh nghiệp thành lập mới đạt 10 tỷ đồng, tăng 6,8%. Nếu tính cả </w:t>
      </w:r>
      <w:r w:rsidR="00000A13">
        <w:rPr>
          <w:lang w:val="it-IT"/>
        </w:rPr>
        <w:t>749</w:t>
      </w:r>
      <w:r w:rsidRPr="006143FA">
        <w:rPr>
          <w:lang w:val="it-IT"/>
        </w:rPr>
        <w:t xml:space="preserve"> nghìn tỷ đồng của gần </w:t>
      </w:r>
      <w:r w:rsidR="00000A13">
        <w:rPr>
          <w:lang w:val="it-IT"/>
        </w:rPr>
        <w:t>12,2</w:t>
      </w:r>
      <w:r w:rsidRPr="006143FA">
        <w:rPr>
          <w:lang w:val="it-IT"/>
        </w:rPr>
        <w:t xml:space="preserve"> nghìn lượt doanh nghiệp thay đổi tăng vốn thì tổng số vốn bổ sung vào nền kinh tế trong 4 tháng năm 2018 là </w:t>
      </w:r>
      <w:r w:rsidR="00000A13">
        <w:rPr>
          <w:lang w:val="it-IT"/>
        </w:rPr>
        <w:t>1.161</w:t>
      </w:r>
      <w:r w:rsidRPr="006143FA">
        <w:rPr>
          <w:lang w:val="it-IT"/>
        </w:rPr>
        <w:t xml:space="preserve"> nghìn tỷ đồng. Bên cạnh đó, còn có 11.442</w:t>
      </w:r>
      <w:r w:rsidRPr="006143FA">
        <w:t xml:space="preserve"> </w:t>
      </w:r>
      <w:r w:rsidRPr="006143FA">
        <w:rPr>
          <w:bCs/>
          <w:lang w:val="it-IT" w:bidi="en-US"/>
        </w:rPr>
        <w:t>doanh nghiệp quay trở lại hoạt động, giảm 0,9% so với cùng kỳ năm trước</w:t>
      </w:r>
      <w:r w:rsidRPr="006143FA">
        <w:t>, nâng tổng số doanh nghiệp đăng ký thành lập mới và doanh nghiệp quay trở lại hoạt động trong 4 tháng đầu năm nay lên hơn 52,7 nghìn doanh nghiệp</w:t>
      </w:r>
      <w:r w:rsidRPr="006143FA">
        <w:rPr>
          <w:bCs/>
          <w:lang w:val="it-IT" w:bidi="en-US"/>
        </w:rPr>
        <w:t xml:space="preserve">. </w:t>
      </w:r>
      <w:r w:rsidRPr="006143FA">
        <w:rPr>
          <w:lang w:val="it-IT"/>
        </w:rPr>
        <w:t>Tổng số lao động đăng ký của các doanh nghiệp thành lập mới 4 tháng đầu năm nay là 332,1 nghìn người, giảm 21,7% so với cùng kỳ năm trước.</w:t>
      </w:r>
    </w:p>
    <w:p w:rsidR="006143FA" w:rsidRPr="006143FA" w:rsidRDefault="006143FA" w:rsidP="00D66893">
      <w:pPr>
        <w:shd w:val="clear" w:color="auto" w:fill="FFFFFF"/>
        <w:spacing w:before="40" w:after="40" w:line="283" w:lineRule="auto"/>
        <w:ind w:firstLine="567"/>
        <w:jc w:val="both"/>
      </w:pPr>
      <w:r w:rsidRPr="006143FA">
        <w:t>Theo lĩnh vực hoạt động, trong 4 tháng đầu năm nay có 14,1 nghìn doanh nghiệp thành lập mới trong ngành bán buôn, bán lẻ (chiếm 34,2% tổng số doanh nghiệp thành lập mới), tăng 3,4% so với cùng kỳ năm trước; 5,</w:t>
      </w:r>
      <w:r w:rsidR="00000A13">
        <w:t>7</w:t>
      </w:r>
      <w:r w:rsidRPr="006143FA">
        <w:t xml:space="preserve"> nghìn doanh nghiệp xây dựng (chiếm 13,7%), tăng 2,8%; 5,1 nghìn doanh nghiệp công nghiệp chế biến, chế tạo (chiếm 12,3%), giảm 3,5%; 3,2 nghìn doanh nghiệp khoa học, công nghệ, dịch vụ tư vấn, thiết kế, quảng cáo và chuyên môn khác (chiếm 7</w:t>
      </w:r>
      <w:r w:rsidR="00000A13">
        <w:t>,</w:t>
      </w:r>
      <w:r w:rsidRPr="006143FA">
        <w:t>7%), tăng</w:t>
      </w:r>
      <w:r w:rsidR="00663280">
        <w:t xml:space="preserve"> </w:t>
      </w:r>
      <w:r w:rsidRPr="006143FA">
        <w:t xml:space="preserve">1%; 2,4 nghìn doanh nghiệp dịch vụ việc làm, du lịch, cho thuê máy móc thiết bị, đồ dùng và các dịch vụ hỗ trợ khác (chiếm 5,9%), tăng 18,6%; 2,1 nghìn doanh nghiệp dịch vụ lưu trú và ăn uống (chiếm 5,1%), tăng 12,2%; 2 nghìn doanh nghiệp kinh doanh bất động sản (chiếm </w:t>
      </w:r>
      <w:r w:rsidR="00000A13">
        <w:t>4,8</w:t>
      </w:r>
      <w:r w:rsidRPr="006143FA">
        <w:t>%), tăng 42,5%; 1,1 nghìn doanh nghiệp giáo dục và đào tạo (chiếm 2,7%), tăng 13%.</w:t>
      </w:r>
      <w:r w:rsidR="00000A13">
        <w:t>..</w:t>
      </w:r>
    </w:p>
    <w:p w:rsidR="006143FA" w:rsidRPr="006143FA" w:rsidRDefault="006143FA" w:rsidP="00092690">
      <w:pPr>
        <w:shd w:val="clear" w:color="auto" w:fill="FFFFFF"/>
        <w:spacing w:before="40" w:after="40" w:line="300" w:lineRule="auto"/>
        <w:ind w:firstLine="567"/>
        <w:jc w:val="both"/>
      </w:pPr>
      <w:r w:rsidRPr="006143FA">
        <w:lastRenderedPageBreak/>
        <w:t>Trong 4 tháng đầu năm nay, số doanh nghiệp thành lập mới tại các vùng trong cả nước đều tăng so với cùng kỳ năm trước: Vùng Bắc Trung Bộ và Duyên hải miền Trung</w:t>
      </w:r>
      <w:r w:rsidR="00663280">
        <w:t xml:space="preserve"> có</w:t>
      </w:r>
      <w:r w:rsidRPr="006143FA">
        <w:t xml:space="preserve"> 5,8 nghìn doanh nghiệp, tăng 7,8% (vốn đăng ký</w:t>
      </w:r>
      <w:r w:rsidR="00663280">
        <w:t xml:space="preserve"> đạt</w:t>
      </w:r>
      <w:r w:rsidRPr="006143FA">
        <w:t xml:space="preserve"> 55,8 nghìn tỷ đồng, tăng 4,8%); Đông Nam Bộ 17,5 nghìn doanh nghiệp, tăng 5,7% (vốn đăng ký 187,</w:t>
      </w:r>
      <w:r w:rsidR="00000A13">
        <w:t>8</w:t>
      </w:r>
      <w:r w:rsidRPr="006143FA">
        <w:t xml:space="preserve"> nghìn tỷ đồng, tăng 10,5%); Đồng bằng sông Cửu Long 3 nghìn doanh nghiệp, tăng 5,3% (vốn đăng ký 29,6 nghìn tỷ đồng, tăng 22,8%); Trung du và miền núi phía Bắc 1,8 nghìn doanh nghiệp, tăng 3,1% (vốn đăng ký 16 nghìn tỷ đồng, giảm 21,1%); Tây Nguyên 1</w:t>
      </w:r>
      <w:r w:rsidR="00663280">
        <w:t>,0</w:t>
      </w:r>
      <w:r w:rsidRPr="006143FA">
        <w:t xml:space="preserve"> nghìn doanh nghiệp, tăng 1,4% (vốn đăng ký 5,9 nghìn tỷ đồng, giảm 40,7%); Đồng bằng sông Hồng 12,2 nghìn doanh nghiệp, tăng 1,1% (vốn đăng ký 116,9 nghìn tỷ đồng, tăng 27%). </w:t>
      </w:r>
    </w:p>
    <w:p w:rsidR="006143FA" w:rsidRPr="006143FA" w:rsidRDefault="006143FA" w:rsidP="00092690">
      <w:pPr>
        <w:spacing w:before="40" w:after="40" w:line="300" w:lineRule="auto"/>
        <w:ind w:firstLine="567"/>
        <w:jc w:val="both"/>
      </w:pPr>
      <w:r w:rsidRPr="006143FA">
        <w:t xml:space="preserve">Số doanh nghiệp tạm ngừng hoạt động trong 4 tháng đầu năm </w:t>
      </w:r>
      <w:r w:rsidR="00663280">
        <w:t>2018</w:t>
      </w:r>
      <w:r w:rsidRPr="006143FA">
        <w:t xml:space="preserve"> là 26.2</w:t>
      </w:r>
      <w:r w:rsidR="00000A13">
        <w:t>7</w:t>
      </w:r>
      <w:r w:rsidRPr="006143FA">
        <w:t>7 doanh nghiệp, giảm 4,1% so với cùng kỳ năm trước, bao gồm 14.187 doanh nghiệp đăng ký tạm ngừng kinh doanh có thời hạn, tăng 23,5% và 12.090 doanh nghiệp tạm ngừng hoạt động không đăng ký hoặc chờ giải thể, giảm 24%. Trong tổng số doanh nghiệp đăng ký tạm ngừng kinh doanh có thời hạn, có 6.361 công ty trách nhiệm hữu hạn 1 thành viên (chiếm 44,8%); 4.283 công ty trách nhiệm hữu hạn 2 thành viên (chiếm 30,2%); 2.347 công ty cổ phần (chiếm 16,6%); 1.195 doanh nghiệp tư nhân (chiếm 8,4%) và 1 công ty hợp danh. Theo lĩnh vực hoạt động, số doanh nghiệp đăng ký tạm ngừng kinh doanh có thời hạn trong ngành bán buôn, bán lẻ là 5,5 nghìn doanh nghiệp (chiếm 38,9%), tăng 22,4% so với cùng kỳ năm trước; 2,2 nghìn doanh nghiệp xây dựng (chiếm 15,3%), tăng 22,6%; 1,8 nghìn doanh nghiệp công nghiệp chế biến, chế tạo (chiếm 12,6%), tăng 17,6%; 723 doanh nghiệp dịch vụ lưu trú và ăn uống (chiếm 5,1%), tăng 31,5%... Đối với doanh nghiệp tạm ngừng hoạt động không đăng ký hoặc chờ giải thể, có 6.148 công ty trách nhiệm hữu hạn 1 thành viên (chiếm 50,9%); 3.004 công ty trách nhiệm hữu hạn 2 thành viên (chiếm 24,8%); 2.303 công ty cổ phần (chiếm 19,1%); 634 doanh nghiệp tư nhân (chiếm 5,2%) và 1 công ty hợp danh.</w:t>
      </w:r>
    </w:p>
    <w:p w:rsidR="002D6001" w:rsidRPr="006143FA" w:rsidRDefault="006143FA" w:rsidP="00092690">
      <w:pPr>
        <w:spacing w:before="40" w:after="40" w:line="300" w:lineRule="auto"/>
        <w:ind w:firstLine="567"/>
        <w:jc w:val="both"/>
        <w:rPr>
          <w:lang w:val="it-IT"/>
        </w:rPr>
      </w:pPr>
      <w:r w:rsidRPr="006143FA">
        <w:t>Số doanh nghiệp hoàn tất thủ tục giải thể trong 4 tháng đầu năm 2018 là 4.699 doanh nghiệp, tăng 15,8% so với cùng kỳ năm trước, trong đó 4.296 doanh nghiệp có quy mô vốn dưới 10 tỷ đồng, chiếm 91,4%. Nếu phân theo loại hình doanh nghiệp, trong tổng số doanh nghiệp hoàn tất thủ tục giải thể, có 2.083 công ty trách nhiệm hữu hạn 1 thành viên (chiếm 44,3%); 1.372 công ty trách nhiệm hữu hạn 2 thành viên (chiếm 29,2%); 581 doanh nghiệp tư nhân (chiếm 12,4%); 661 công ty cổ phần (chiếm 14,1%) và 2 công ty hợp danh.</w:t>
      </w:r>
    </w:p>
    <w:p w:rsidR="00BB4A9E" w:rsidRPr="00190D72" w:rsidRDefault="003A35EA" w:rsidP="00527F1D">
      <w:pPr>
        <w:spacing w:before="40" w:after="40" w:line="288" w:lineRule="auto"/>
        <w:ind w:firstLine="567"/>
        <w:jc w:val="both"/>
        <w:rPr>
          <w:b/>
          <w:bCs/>
          <w:lang w:val="af-ZA"/>
        </w:rPr>
      </w:pPr>
      <w:r w:rsidRPr="00190D72">
        <w:rPr>
          <w:b/>
          <w:bCs/>
          <w:lang w:val="af-ZA"/>
        </w:rPr>
        <w:lastRenderedPageBreak/>
        <w:t>4. Đầu tư</w:t>
      </w:r>
    </w:p>
    <w:p w:rsidR="004A1DC5" w:rsidRPr="00190D72" w:rsidRDefault="004A1DC5" w:rsidP="00527F1D">
      <w:pPr>
        <w:spacing w:before="40" w:after="40" w:line="288" w:lineRule="auto"/>
        <w:ind w:firstLine="567"/>
        <w:jc w:val="both"/>
      </w:pPr>
      <w:r w:rsidRPr="00190D72">
        <w:rPr>
          <w:lang w:val="vi-VN"/>
        </w:rPr>
        <w:t>Vốn đầu tư thực hiện từ nguồn ngân sách Nhà nước tháng</w:t>
      </w:r>
      <w:r w:rsidRPr="00190D72">
        <w:rPr>
          <w:lang w:val="af-ZA"/>
        </w:rPr>
        <w:t xml:space="preserve"> Tư</w:t>
      </w:r>
      <w:r w:rsidRPr="00190D72">
        <w:rPr>
          <w:lang w:val="vi-VN"/>
        </w:rPr>
        <w:t xml:space="preserve"> ước tính đạt </w:t>
      </w:r>
      <w:r w:rsidRPr="00190D72">
        <w:rPr>
          <w:lang w:val="af-ZA"/>
        </w:rPr>
        <w:t>21.625</w:t>
      </w:r>
      <w:r w:rsidRPr="00190D72">
        <w:rPr>
          <w:lang w:val="vi-VN"/>
        </w:rPr>
        <w:t xml:space="preserve"> tỷ đồng, bao gồm: Vốn trung ương </w:t>
      </w:r>
      <w:r w:rsidRPr="00190D72">
        <w:rPr>
          <w:lang w:val="af-ZA"/>
        </w:rPr>
        <w:t>3.838</w:t>
      </w:r>
      <w:r w:rsidRPr="00190D72">
        <w:rPr>
          <w:lang w:val="vi-VN"/>
        </w:rPr>
        <w:t xml:space="preserve"> tỷ đồng; vốn địa phương </w:t>
      </w:r>
      <w:r w:rsidRPr="00190D72">
        <w:rPr>
          <w:lang w:val="af-ZA"/>
        </w:rPr>
        <w:t xml:space="preserve">17.787 </w:t>
      </w:r>
      <w:r w:rsidRPr="00190D72">
        <w:rPr>
          <w:lang w:val="vi-VN"/>
        </w:rPr>
        <w:t xml:space="preserve">tỷ đồng. Tính chung </w:t>
      </w:r>
      <w:r w:rsidRPr="00190D72">
        <w:t>4</w:t>
      </w:r>
      <w:r w:rsidRPr="00190D72">
        <w:rPr>
          <w:lang w:val="vi-VN"/>
        </w:rPr>
        <w:t xml:space="preserve"> tháng</w:t>
      </w:r>
      <w:r w:rsidRPr="00190D72">
        <w:t xml:space="preserve"> đầu năm</w:t>
      </w:r>
      <w:r w:rsidRPr="00190D72">
        <w:rPr>
          <w:lang w:val="vi-VN"/>
        </w:rPr>
        <w:t xml:space="preserve">, vốn đầu tư thực hiện từ nguồn ngân sách Nhà nước đạt </w:t>
      </w:r>
      <w:r w:rsidRPr="00190D72">
        <w:t>70</w:t>
      </w:r>
      <w:r w:rsidR="00B30592" w:rsidRPr="00190D72">
        <w:t>,</w:t>
      </w:r>
      <w:r w:rsidRPr="00190D72">
        <w:t>9</w:t>
      </w:r>
      <w:r w:rsidR="00B30592" w:rsidRPr="00190D72">
        <w:t xml:space="preserve"> nghìn</w:t>
      </w:r>
      <w:r w:rsidRPr="00190D72">
        <w:rPr>
          <w:lang w:val="vi-VN"/>
        </w:rPr>
        <w:t xml:space="preserve"> tỷ đồng, bằng </w:t>
      </w:r>
      <w:r w:rsidRPr="00190D72">
        <w:t>21</w:t>
      </w:r>
      <w:r w:rsidRPr="00190D72">
        <w:rPr>
          <w:lang w:val="vi-VN"/>
        </w:rPr>
        <w:t xml:space="preserve">% kế hoạch năm và tăng </w:t>
      </w:r>
      <w:r w:rsidRPr="00190D72">
        <w:t>9,3</w:t>
      </w:r>
      <w:r w:rsidR="00B30592" w:rsidRPr="00190D72">
        <w:rPr>
          <w:lang w:val="vi-VN"/>
        </w:rPr>
        <w:t xml:space="preserve">% so với cùng kỳ năm </w:t>
      </w:r>
      <w:r w:rsidR="00B30592" w:rsidRPr="00190D72">
        <w:t>trước</w:t>
      </w:r>
      <w:r w:rsidRPr="00190D72">
        <w:t xml:space="preserve"> (cùng kỳ năm 2017 tăng </w:t>
      </w:r>
      <w:r w:rsidR="00910335" w:rsidRPr="00190D72">
        <w:t>4</w:t>
      </w:r>
      <w:r w:rsidRPr="00190D72">
        <w:t>,</w:t>
      </w:r>
      <w:r w:rsidR="00910335" w:rsidRPr="00190D72">
        <w:t>4</w:t>
      </w:r>
      <w:r w:rsidRPr="00190D72">
        <w:t>%)</w:t>
      </w:r>
      <w:r w:rsidRPr="00190D72">
        <w:rPr>
          <w:lang w:val="vi-VN"/>
        </w:rPr>
        <w:t>, gồm có:</w:t>
      </w:r>
    </w:p>
    <w:p w:rsidR="004A1DC5" w:rsidRPr="00190D72" w:rsidRDefault="004A1DC5" w:rsidP="00527F1D">
      <w:pPr>
        <w:spacing w:before="40" w:after="40" w:line="293" w:lineRule="auto"/>
        <w:ind w:firstLine="567"/>
        <w:jc w:val="both"/>
        <w:rPr>
          <w:lang w:val="vi-VN"/>
        </w:rPr>
      </w:pPr>
      <w:r w:rsidRPr="00190D72">
        <w:t xml:space="preserve">- </w:t>
      </w:r>
      <w:r w:rsidRPr="00190D72">
        <w:rPr>
          <w:lang w:val="vi-VN"/>
        </w:rPr>
        <w:t>Vốn trung ương quản lý đạt</w:t>
      </w:r>
      <w:r w:rsidRPr="00190D72">
        <w:rPr>
          <w:lang w:val="de-DE"/>
        </w:rPr>
        <w:t xml:space="preserve"> 13</w:t>
      </w:r>
      <w:r w:rsidR="00B30592" w:rsidRPr="00190D72">
        <w:rPr>
          <w:lang w:val="de-DE"/>
        </w:rPr>
        <w:t>,1 nghìn</w:t>
      </w:r>
      <w:r w:rsidRPr="00190D72">
        <w:rPr>
          <w:lang w:val="vi-VN"/>
        </w:rPr>
        <w:t xml:space="preserve"> tỷ đồng, bằng </w:t>
      </w:r>
      <w:r w:rsidRPr="00190D72">
        <w:t>19,9</w:t>
      </w:r>
      <w:r w:rsidRPr="00190D72">
        <w:rPr>
          <w:lang w:val="de-DE"/>
        </w:rPr>
        <w:t>%</w:t>
      </w:r>
      <w:r w:rsidRPr="00190D72">
        <w:rPr>
          <w:lang w:val="vi-VN"/>
        </w:rPr>
        <w:t xml:space="preserve"> kế hoạch năm và </w:t>
      </w:r>
      <w:r w:rsidRPr="00190D72">
        <w:t>giảm 2,3</w:t>
      </w:r>
      <w:r w:rsidRPr="00190D72">
        <w:rPr>
          <w:lang w:val="vi-VN"/>
        </w:rPr>
        <w:t>% so với</w:t>
      </w:r>
      <w:r w:rsidRPr="00190D72">
        <w:rPr>
          <w:lang w:val="de-DE"/>
        </w:rPr>
        <w:t xml:space="preserve"> cùng kỳ</w:t>
      </w:r>
      <w:r w:rsidRPr="00190D72">
        <w:rPr>
          <w:lang w:val="vi-VN"/>
        </w:rPr>
        <w:t xml:space="preserve"> năm trước, trong đó vốn đầu tư thực hiện của Bộ Giao thông Vận tải </w:t>
      </w:r>
      <w:r w:rsidRPr="00190D72">
        <w:t>đạt 4.407</w:t>
      </w:r>
      <w:r w:rsidRPr="00190D72">
        <w:rPr>
          <w:lang w:val="vi-VN"/>
        </w:rPr>
        <w:t xml:space="preserve"> tỷ đồng, bằng </w:t>
      </w:r>
      <w:r w:rsidRPr="00190D72">
        <w:t>23,9</w:t>
      </w:r>
      <w:r w:rsidRPr="00190D72">
        <w:rPr>
          <w:lang w:val="vi-VN"/>
        </w:rPr>
        <w:t xml:space="preserve">% và </w:t>
      </w:r>
      <w:r w:rsidRPr="00190D72">
        <w:rPr>
          <w:lang w:val="de-DE"/>
        </w:rPr>
        <w:t>giảm 41,9</w:t>
      </w:r>
      <w:r w:rsidRPr="00190D72">
        <w:rPr>
          <w:lang w:val="vi-VN"/>
        </w:rPr>
        <w:t xml:space="preserve">%; Bộ Nông nghiệp và Phát triển </w:t>
      </w:r>
      <w:r w:rsidRPr="00190D72">
        <w:rPr>
          <w:lang w:val="de-DE"/>
        </w:rPr>
        <w:t>n</w:t>
      </w:r>
      <w:r w:rsidRPr="00190D72">
        <w:rPr>
          <w:lang w:val="vi-VN"/>
        </w:rPr>
        <w:t xml:space="preserve">ông thôn </w:t>
      </w:r>
      <w:r w:rsidRPr="00190D72">
        <w:t xml:space="preserve">1.126 </w:t>
      </w:r>
      <w:r w:rsidRPr="00190D72">
        <w:rPr>
          <w:lang w:val="vi-VN"/>
        </w:rPr>
        <w:t xml:space="preserve">tỷ đồng, bằng </w:t>
      </w:r>
      <w:r w:rsidRPr="00190D72">
        <w:t>13,9</w:t>
      </w:r>
      <w:r w:rsidRPr="00190D72">
        <w:rPr>
          <w:lang w:val="vi-VN"/>
        </w:rPr>
        <w:t xml:space="preserve">% và </w:t>
      </w:r>
      <w:r w:rsidRPr="00190D72">
        <w:rPr>
          <w:lang w:val="de-DE"/>
        </w:rPr>
        <w:t>tăng 8,7</w:t>
      </w:r>
      <w:r w:rsidRPr="00190D72">
        <w:rPr>
          <w:lang w:val="vi-VN"/>
        </w:rPr>
        <w:t>%;</w:t>
      </w:r>
      <w:r w:rsidRPr="00190D72">
        <w:t xml:space="preserve"> </w:t>
      </w:r>
      <w:r w:rsidRPr="00190D72">
        <w:rPr>
          <w:lang w:val="vi-VN"/>
        </w:rPr>
        <w:t xml:space="preserve">Bộ Y tế </w:t>
      </w:r>
      <w:r w:rsidRPr="00190D72">
        <w:t>665</w:t>
      </w:r>
      <w:r w:rsidRPr="00190D72">
        <w:rPr>
          <w:lang w:val="vi-VN"/>
        </w:rPr>
        <w:t xml:space="preserve"> tỷ đồng, bằng </w:t>
      </w:r>
      <w:r w:rsidRPr="00190D72">
        <w:t>20,1</w:t>
      </w:r>
      <w:r w:rsidRPr="00190D72">
        <w:rPr>
          <w:lang w:val="vi-VN"/>
        </w:rPr>
        <w:t xml:space="preserve">% và </w:t>
      </w:r>
      <w:r w:rsidRPr="00190D72">
        <w:t>giảm</w:t>
      </w:r>
      <w:r w:rsidRPr="00190D72">
        <w:rPr>
          <w:lang w:val="de-DE"/>
        </w:rPr>
        <w:t xml:space="preserve"> 27,3</w:t>
      </w:r>
      <w:r w:rsidRPr="00190D72">
        <w:rPr>
          <w:lang w:val="vi-VN"/>
        </w:rPr>
        <w:t>%;</w:t>
      </w:r>
      <w:r w:rsidRPr="00190D72">
        <w:t xml:space="preserve"> </w:t>
      </w:r>
      <w:r w:rsidRPr="00190D72">
        <w:rPr>
          <w:lang w:val="de-DE"/>
        </w:rPr>
        <w:t>Bộ Tài nguyên và Môi trường 262 tỷ đồng, bằng 17,7% và tăng 52,6%;</w:t>
      </w:r>
      <w:r w:rsidRPr="00190D72">
        <w:rPr>
          <w:lang w:val="vi-VN"/>
        </w:rPr>
        <w:t xml:space="preserve"> Bộ Giáo dục và Đào tạo </w:t>
      </w:r>
      <w:r w:rsidRPr="00190D72">
        <w:t>228</w:t>
      </w:r>
      <w:r w:rsidRPr="00190D72">
        <w:rPr>
          <w:lang w:val="vi-VN"/>
        </w:rPr>
        <w:t xml:space="preserve"> tỷ đồng, bằng</w:t>
      </w:r>
      <w:r w:rsidR="008C63DB" w:rsidRPr="00190D72">
        <w:t xml:space="preserve"> </w:t>
      </w:r>
      <w:r w:rsidRPr="00190D72">
        <w:t>16,8</w:t>
      </w:r>
      <w:r w:rsidRPr="00190D72">
        <w:rPr>
          <w:lang w:val="vi-VN"/>
        </w:rPr>
        <w:t xml:space="preserve">% và </w:t>
      </w:r>
      <w:r w:rsidRPr="00190D72">
        <w:t>tăng</w:t>
      </w:r>
      <w:r w:rsidRPr="00190D72">
        <w:rPr>
          <w:lang w:val="de-DE"/>
        </w:rPr>
        <w:t xml:space="preserve"> 39,8</w:t>
      </w:r>
      <w:r w:rsidRPr="00190D72">
        <w:rPr>
          <w:lang w:val="vi-VN"/>
        </w:rPr>
        <w:t>%;</w:t>
      </w:r>
      <w:r w:rsidRPr="00190D72">
        <w:rPr>
          <w:lang w:val="de-DE"/>
        </w:rPr>
        <w:t xml:space="preserve"> </w:t>
      </w:r>
      <w:r w:rsidRPr="00190D72">
        <w:rPr>
          <w:lang w:val="vi-VN"/>
        </w:rPr>
        <w:t xml:space="preserve">Bộ Văn hóa, Thể thao và Du lịch </w:t>
      </w:r>
      <w:r w:rsidRPr="00190D72">
        <w:t>162</w:t>
      </w:r>
      <w:r w:rsidRPr="00190D72">
        <w:rPr>
          <w:lang w:val="vi-VN"/>
        </w:rPr>
        <w:t xml:space="preserve"> tỷ đồng, bằng </w:t>
      </w:r>
      <w:r w:rsidRPr="00190D72">
        <w:t>21,5</w:t>
      </w:r>
      <w:r w:rsidRPr="00190D72">
        <w:rPr>
          <w:lang w:val="vi-VN"/>
        </w:rPr>
        <w:t xml:space="preserve">% và </w:t>
      </w:r>
      <w:r w:rsidRPr="00190D72">
        <w:t>tăng</w:t>
      </w:r>
      <w:r w:rsidRPr="00190D72">
        <w:rPr>
          <w:lang w:val="de-DE"/>
        </w:rPr>
        <w:t xml:space="preserve"> 19,8</w:t>
      </w:r>
      <w:r w:rsidRPr="00190D72">
        <w:rPr>
          <w:lang w:val="vi-VN"/>
        </w:rPr>
        <w:t>%;</w:t>
      </w:r>
      <w:r w:rsidRPr="00190D72">
        <w:rPr>
          <w:lang w:val="de-DE"/>
        </w:rPr>
        <w:t xml:space="preserve"> </w:t>
      </w:r>
      <w:r w:rsidRPr="00190D72">
        <w:rPr>
          <w:lang w:val="vi-VN"/>
        </w:rPr>
        <w:t xml:space="preserve">Bộ Công Thương </w:t>
      </w:r>
      <w:r w:rsidRPr="00190D72">
        <w:t xml:space="preserve">44 </w:t>
      </w:r>
      <w:r w:rsidRPr="00190D72">
        <w:rPr>
          <w:lang w:val="vi-VN"/>
        </w:rPr>
        <w:t xml:space="preserve">tỷ đồng, bằng </w:t>
      </w:r>
      <w:r w:rsidRPr="00190D72">
        <w:t>20,2</w:t>
      </w:r>
      <w:r w:rsidRPr="00190D72">
        <w:rPr>
          <w:lang w:val="vi-VN"/>
        </w:rPr>
        <w:t xml:space="preserve">% và </w:t>
      </w:r>
      <w:r w:rsidRPr="00190D72">
        <w:t>giảm</w:t>
      </w:r>
      <w:r w:rsidRPr="00190D72">
        <w:rPr>
          <w:lang w:val="de-DE"/>
        </w:rPr>
        <w:t xml:space="preserve"> 18,1%; </w:t>
      </w:r>
      <w:r w:rsidRPr="00190D72">
        <w:rPr>
          <w:lang w:val="vi-VN"/>
        </w:rPr>
        <w:t xml:space="preserve">Bộ Xây dựng </w:t>
      </w:r>
      <w:r w:rsidRPr="00190D72">
        <w:t xml:space="preserve">43 </w:t>
      </w:r>
      <w:r w:rsidRPr="00190D72">
        <w:rPr>
          <w:lang w:val="vi-VN"/>
        </w:rPr>
        <w:t xml:space="preserve">tỷ đồng, bằng </w:t>
      </w:r>
      <w:r w:rsidRPr="00190D72">
        <w:t>15,7</w:t>
      </w:r>
      <w:r w:rsidRPr="00190D72">
        <w:rPr>
          <w:lang w:val="vi-VN"/>
        </w:rPr>
        <w:t xml:space="preserve">% và </w:t>
      </w:r>
      <w:r w:rsidRPr="00190D72">
        <w:rPr>
          <w:lang w:val="de-DE"/>
        </w:rPr>
        <w:t>giảm 65,8</w:t>
      </w:r>
      <w:r w:rsidRPr="00190D72">
        <w:rPr>
          <w:lang w:val="vi-VN"/>
        </w:rPr>
        <w:t>%;</w:t>
      </w:r>
      <w:r w:rsidRPr="00190D72">
        <w:t xml:space="preserve"> </w:t>
      </w:r>
      <w:r w:rsidRPr="00190D72">
        <w:rPr>
          <w:lang w:val="de-DE"/>
        </w:rPr>
        <w:t>Bộ Khoa học và Công nghệ 39 tỷ đồng, bằng 16,3% và tăng 47,6%; Bộ Thông tin và Truyền thông 22 tỷ đồng, bằng 16,6% và tăng 15,1%</w:t>
      </w:r>
      <w:r w:rsidRPr="00190D72">
        <w:rPr>
          <w:lang w:val="vi-VN"/>
        </w:rPr>
        <w:t>.</w:t>
      </w:r>
    </w:p>
    <w:p w:rsidR="007326F3" w:rsidRPr="00092690" w:rsidRDefault="004A1DC5" w:rsidP="00527F1D">
      <w:pPr>
        <w:pStyle w:val="NormalWeb"/>
        <w:shd w:val="clear" w:color="auto" w:fill="FFFFFF"/>
        <w:spacing w:before="40" w:beforeAutospacing="0" w:after="40" w:afterAutospacing="0" w:line="293" w:lineRule="auto"/>
        <w:ind w:firstLine="567"/>
        <w:jc w:val="both"/>
        <w:rPr>
          <w:spacing w:val="-2"/>
          <w:sz w:val="28"/>
          <w:szCs w:val="28"/>
        </w:rPr>
      </w:pPr>
      <w:r w:rsidRPr="00092690">
        <w:rPr>
          <w:spacing w:val="-2"/>
          <w:sz w:val="28"/>
          <w:szCs w:val="28"/>
          <w:lang w:val="vi-VN"/>
        </w:rPr>
        <w:t xml:space="preserve">- Vốn địa phương quản lý đạt </w:t>
      </w:r>
      <w:r w:rsidRPr="00092690">
        <w:rPr>
          <w:spacing w:val="-2"/>
          <w:sz w:val="28"/>
          <w:szCs w:val="28"/>
        </w:rPr>
        <w:t>57</w:t>
      </w:r>
      <w:r w:rsidR="00B30592" w:rsidRPr="00092690">
        <w:rPr>
          <w:spacing w:val="-2"/>
          <w:sz w:val="28"/>
          <w:szCs w:val="28"/>
        </w:rPr>
        <w:t>,8 nghìn</w:t>
      </w:r>
      <w:r w:rsidRPr="00092690">
        <w:rPr>
          <w:spacing w:val="-2"/>
          <w:sz w:val="28"/>
          <w:szCs w:val="28"/>
        </w:rPr>
        <w:t xml:space="preserve"> </w:t>
      </w:r>
      <w:r w:rsidRPr="00092690">
        <w:rPr>
          <w:spacing w:val="-2"/>
          <w:sz w:val="28"/>
          <w:szCs w:val="28"/>
          <w:lang w:val="vi-VN"/>
        </w:rPr>
        <w:t xml:space="preserve">tỷ đồng, bằng </w:t>
      </w:r>
      <w:r w:rsidRPr="00092690">
        <w:rPr>
          <w:spacing w:val="-2"/>
          <w:sz w:val="28"/>
          <w:szCs w:val="28"/>
        </w:rPr>
        <w:t>21,2</w:t>
      </w:r>
      <w:r w:rsidRPr="00092690">
        <w:rPr>
          <w:spacing w:val="-2"/>
          <w:sz w:val="28"/>
          <w:szCs w:val="28"/>
          <w:lang w:val="vi-VN"/>
        </w:rPr>
        <w:t xml:space="preserve">% kế hoạch năm và tăng </w:t>
      </w:r>
      <w:r w:rsidRPr="00092690">
        <w:rPr>
          <w:spacing w:val="-2"/>
          <w:sz w:val="28"/>
          <w:szCs w:val="28"/>
        </w:rPr>
        <w:t>12,3</w:t>
      </w:r>
      <w:r w:rsidRPr="00092690">
        <w:rPr>
          <w:spacing w:val="-2"/>
          <w:sz w:val="28"/>
          <w:szCs w:val="28"/>
          <w:lang w:val="vi-VN"/>
        </w:rPr>
        <w:t>% so với cùng kỳ năm 201</w:t>
      </w:r>
      <w:r w:rsidRPr="00092690">
        <w:rPr>
          <w:spacing w:val="-2"/>
          <w:sz w:val="28"/>
          <w:szCs w:val="28"/>
        </w:rPr>
        <w:t>7</w:t>
      </w:r>
      <w:r w:rsidR="00B30592" w:rsidRPr="00092690">
        <w:rPr>
          <w:spacing w:val="-2"/>
          <w:sz w:val="28"/>
          <w:szCs w:val="28"/>
        </w:rPr>
        <w:t>,</w:t>
      </w:r>
      <w:r w:rsidRPr="00092690">
        <w:rPr>
          <w:spacing w:val="-2"/>
          <w:sz w:val="28"/>
          <w:szCs w:val="28"/>
          <w:lang w:val="vi-VN"/>
        </w:rPr>
        <w:t xml:space="preserve"> </w:t>
      </w:r>
      <w:r w:rsidR="00B30592" w:rsidRPr="00092690">
        <w:rPr>
          <w:spacing w:val="-2"/>
          <w:sz w:val="28"/>
          <w:szCs w:val="28"/>
        </w:rPr>
        <w:t>t</w:t>
      </w:r>
      <w:r w:rsidRPr="00092690">
        <w:rPr>
          <w:spacing w:val="-2"/>
          <w:sz w:val="28"/>
          <w:szCs w:val="28"/>
          <w:lang w:val="vi-VN"/>
        </w:rPr>
        <w:t>rong đó</w:t>
      </w:r>
      <w:r w:rsidR="00B30592" w:rsidRPr="00092690">
        <w:rPr>
          <w:spacing w:val="-2"/>
          <w:sz w:val="28"/>
          <w:szCs w:val="28"/>
        </w:rPr>
        <w:t>:</w:t>
      </w:r>
      <w:r w:rsidRPr="00092690">
        <w:rPr>
          <w:spacing w:val="-2"/>
          <w:sz w:val="28"/>
          <w:szCs w:val="28"/>
          <w:lang w:val="vi-VN"/>
        </w:rPr>
        <w:t xml:space="preserve"> </w:t>
      </w:r>
      <w:r w:rsidR="00B30592" w:rsidRPr="00092690">
        <w:rPr>
          <w:spacing w:val="-2"/>
          <w:sz w:val="28"/>
          <w:szCs w:val="28"/>
        </w:rPr>
        <w:t>V</w:t>
      </w:r>
      <w:r w:rsidRPr="00092690">
        <w:rPr>
          <w:spacing w:val="-2"/>
          <w:sz w:val="28"/>
          <w:szCs w:val="28"/>
          <w:lang w:val="vi-VN"/>
        </w:rPr>
        <w:t xml:space="preserve">ốn ngân sách Nhà nước cấp tỉnh đạt </w:t>
      </w:r>
      <w:r w:rsidRPr="00092690">
        <w:rPr>
          <w:spacing w:val="-2"/>
          <w:sz w:val="28"/>
          <w:szCs w:val="28"/>
        </w:rPr>
        <w:t>39</w:t>
      </w:r>
      <w:r w:rsidR="00B30592" w:rsidRPr="00092690">
        <w:rPr>
          <w:spacing w:val="-2"/>
          <w:sz w:val="28"/>
          <w:szCs w:val="28"/>
        </w:rPr>
        <w:t>,</w:t>
      </w:r>
      <w:r w:rsidRPr="00092690">
        <w:rPr>
          <w:spacing w:val="-2"/>
          <w:sz w:val="28"/>
          <w:szCs w:val="28"/>
        </w:rPr>
        <w:t>8</w:t>
      </w:r>
      <w:r w:rsidR="00B30592" w:rsidRPr="00092690">
        <w:rPr>
          <w:spacing w:val="-2"/>
          <w:sz w:val="28"/>
          <w:szCs w:val="28"/>
        </w:rPr>
        <w:t xml:space="preserve"> nghìn</w:t>
      </w:r>
      <w:r w:rsidRPr="00092690">
        <w:rPr>
          <w:spacing w:val="-2"/>
          <w:sz w:val="28"/>
          <w:szCs w:val="28"/>
          <w:lang w:val="vi-VN"/>
        </w:rPr>
        <w:t xml:space="preserve"> tỷ đồng, bằng </w:t>
      </w:r>
      <w:r w:rsidRPr="00092690">
        <w:rPr>
          <w:spacing w:val="-2"/>
          <w:sz w:val="28"/>
          <w:szCs w:val="28"/>
        </w:rPr>
        <w:t>19,7</w:t>
      </w:r>
      <w:r w:rsidRPr="00092690">
        <w:rPr>
          <w:spacing w:val="-2"/>
          <w:sz w:val="28"/>
          <w:szCs w:val="28"/>
          <w:lang w:val="vi-VN"/>
        </w:rPr>
        <w:t xml:space="preserve">% và tăng </w:t>
      </w:r>
      <w:r w:rsidRPr="00092690">
        <w:rPr>
          <w:spacing w:val="-2"/>
          <w:sz w:val="28"/>
          <w:szCs w:val="28"/>
        </w:rPr>
        <w:t>11,2</w:t>
      </w:r>
      <w:r w:rsidRPr="00092690">
        <w:rPr>
          <w:spacing w:val="-2"/>
          <w:sz w:val="28"/>
          <w:szCs w:val="28"/>
          <w:lang w:val="vi-VN"/>
        </w:rPr>
        <w:t xml:space="preserve">%; vốn ngân sách Nhà nước cấp huyện đạt </w:t>
      </w:r>
      <w:r w:rsidRPr="00092690">
        <w:rPr>
          <w:spacing w:val="-2"/>
          <w:sz w:val="28"/>
          <w:szCs w:val="28"/>
        </w:rPr>
        <w:t>1</w:t>
      </w:r>
      <w:r w:rsidR="00B30592" w:rsidRPr="00092690">
        <w:rPr>
          <w:spacing w:val="-2"/>
          <w:sz w:val="28"/>
          <w:szCs w:val="28"/>
        </w:rPr>
        <w:t>5 nghìn</w:t>
      </w:r>
      <w:r w:rsidRPr="00092690">
        <w:rPr>
          <w:spacing w:val="-2"/>
          <w:sz w:val="28"/>
          <w:szCs w:val="28"/>
        </w:rPr>
        <w:t xml:space="preserve"> </w:t>
      </w:r>
      <w:r w:rsidRPr="00092690">
        <w:rPr>
          <w:spacing w:val="-2"/>
          <w:sz w:val="28"/>
          <w:szCs w:val="28"/>
          <w:lang w:val="vi-VN"/>
        </w:rPr>
        <w:t xml:space="preserve">tỷ đồng, bằng </w:t>
      </w:r>
      <w:r w:rsidRPr="00092690">
        <w:rPr>
          <w:spacing w:val="-2"/>
          <w:sz w:val="28"/>
          <w:szCs w:val="28"/>
        </w:rPr>
        <w:t>24,8</w:t>
      </w:r>
      <w:r w:rsidRPr="00092690">
        <w:rPr>
          <w:spacing w:val="-2"/>
          <w:sz w:val="28"/>
          <w:szCs w:val="28"/>
          <w:lang w:val="vi-VN"/>
        </w:rPr>
        <w:t xml:space="preserve">% và </w:t>
      </w:r>
      <w:r w:rsidRPr="00092690">
        <w:rPr>
          <w:spacing w:val="-2"/>
          <w:sz w:val="28"/>
          <w:szCs w:val="28"/>
        </w:rPr>
        <w:t>tăng 14,9</w:t>
      </w:r>
      <w:r w:rsidRPr="00092690">
        <w:rPr>
          <w:spacing w:val="-2"/>
          <w:sz w:val="28"/>
          <w:szCs w:val="28"/>
          <w:lang w:val="vi-VN"/>
        </w:rPr>
        <w:t xml:space="preserve">%; vốn ngân sách Nhà nước cấp xã đạt </w:t>
      </w:r>
      <w:r w:rsidRPr="00092690">
        <w:rPr>
          <w:spacing w:val="-2"/>
          <w:sz w:val="28"/>
          <w:szCs w:val="28"/>
        </w:rPr>
        <w:t>3</w:t>
      </w:r>
      <w:r w:rsidR="00B30592" w:rsidRPr="00092690">
        <w:rPr>
          <w:spacing w:val="-2"/>
          <w:sz w:val="28"/>
          <w:szCs w:val="28"/>
        </w:rPr>
        <w:t xml:space="preserve"> nghìn</w:t>
      </w:r>
      <w:r w:rsidRPr="00092690">
        <w:rPr>
          <w:spacing w:val="-2"/>
          <w:sz w:val="28"/>
          <w:szCs w:val="28"/>
        </w:rPr>
        <w:t xml:space="preserve"> </w:t>
      </w:r>
      <w:r w:rsidRPr="00092690">
        <w:rPr>
          <w:spacing w:val="-2"/>
          <w:sz w:val="28"/>
          <w:szCs w:val="28"/>
          <w:lang w:val="vi-VN"/>
        </w:rPr>
        <w:t xml:space="preserve">tỷ đồng, bằng </w:t>
      </w:r>
      <w:r w:rsidRPr="00092690">
        <w:rPr>
          <w:spacing w:val="-2"/>
          <w:sz w:val="28"/>
          <w:szCs w:val="28"/>
        </w:rPr>
        <w:t>30,5</w:t>
      </w:r>
      <w:r w:rsidRPr="00092690">
        <w:rPr>
          <w:spacing w:val="-2"/>
          <w:sz w:val="28"/>
          <w:szCs w:val="28"/>
          <w:lang w:val="vi-VN"/>
        </w:rPr>
        <w:t xml:space="preserve">% và </w:t>
      </w:r>
      <w:r w:rsidRPr="00092690">
        <w:rPr>
          <w:spacing w:val="-2"/>
          <w:sz w:val="28"/>
          <w:szCs w:val="28"/>
        </w:rPr>
        <w:t>tăng</w:t>
      </w:r>
      <w:r w:rsidRPr="00092690">
        <w:rPr>
          <w:spacing w:val="-2"/>
          <w:sz w:val="28"/>
          <w:szCs w:val="28"/>
          <w:lang w:val="vi-VN"/>
        </w:rPr>
        <w:t xml:space="preserve"> </w:t>
      </w:r>
      <w:r w:rsidRPr="00092690">
        <w:rPr>
          <w:spacing w:val="-2"/>
          <w:sz w:val="28"/>
          <w:szCs w:val="28"/>
        </w:rPr>
        <w:t>13,9</w:t>
      </w:r>
      <w:r w:rsidRPr="00092690">
        <w:rPr>
          <w:spacing w:val="-2"/>
          <w:sz w:val="28"/>
          <w:szCs w:val="28"/>
          <w:lang w:val="vi-VN"/>
        </w:rPr>
        <w:t xml:space="preserve">%. Vốn đầu tư thực hiện từ nguồn ngân sách Nhà nước của một số tỉnh, thành phố trực thuộc Trung ương như sau: Hà Nội đạt </w:t>
      </w:r>
      <w:r w:rsidRPr="00092690">
        <w:rPr>
          <w:spacing w:val="-2"/>
          <w:sz w:val="28"/>
          <w:szCs w:val="28"/>
        </w:rPr>
        <w:t xml:space="preserve">8.408 </w:t>
      </w:r>
      <w:r w:rsidRPr="00092690">
        <w:rPr>
          <w:spacing w:val="-2"/>
          <w:sz w:val="28"/>
          <w:szCs w:val="28"/>
          <w:lang w:val="vi-VN"/>
        </w:rPr>
        <w:t xml:space="preserve">tỷ đồng, bằng </w:t>
      </w:r>
      <w:r w:rsidRPr="00092690">
        <w:rPr>
          <w:spacing w:val="-2"/>
          <w:sz w:val="28"/>
          <w:szCs w:val="28"/>
        </w:rPr>
        <w:t>22,1</w:t>
      </w:r>
      <w:r w:rsidRPr="00092690">
        <w:rPr>
          <w:spacing w:val="-2"/>
          <w:sz w:val="28"/>
          <w:szCs w:val="28"/>
          <w:lang w:val="vi-VN"/>
        </w:rPr>
        <w:t xml:space="preserve">% kế hoạch năm và </w:t>
      </w:r>
      <w:r w:rsidRPr="00092690">
        <w:rPr>
          <w:spacing w:val="-2"/>
          <w:sz w:val="28"/>
          <w:szCs w:val="28"/>
        </w:rPr>
        <w:t>tăng 4,6</w:t>
      </w:r>
      <w:r w:rsidRPr="00092690">
        <w:rPr>
          <w:spacing w:val="-2"/>
          <w:sz w:val="28"/>
          <w:szCs w:val="28"/>
          <w:lang w:val="vi-VN"/>
        </w:rPr>
        <w:t xml:space="preserve">% so với cùng kỳ năm trước; thành phố Hồ Chí Minh </w:t>
      </w:r>
      <w:r w:rsidRPr="00092690">
        <w:rPr>
          <w:spacing w:val="-2"/>
          <w:sz w:val="28"/>
          <w:szCs w:val="28"/>
        </w:rPr>
        <w:t>4.153</w:t>
      </w:r>
      <w:r w:rsidRPr="00092690">
        <w:rPr>
          <w:spacing w:val="-2"/>
          <w:sz w:val="28"/>
          <w:szCs w:val="28"/>
          <w:lang w:val="vi-VN"/>
        </w:rPr>
        <w:t xml:space="preserve"> tỷ đồng, bằng </w:t>
      </w:r>
      <w:r w:rsidRPr="00092690">
        <w:rPr>
          <w:spacing w:val="-2"/>
          <w:sz w:val="28"/>
          <w:szCs w:val="28"/>
        </w:rPr>
        <w:t>10</w:t>
      </w:r>
      <w:r w:rsidRPr="00092690">
        <w:rPr>
          <w:spacing w:val="-2"/>
          <w:sz w:val="28"/>
          <w:szCs w:val="28"/>
          <w:lang w:val="vi-VN"/>
        </w:rPr>
        <w:t xml:space="preserve">% và tăng </w:t>
      </w:r>
      <w:r w:rsidRPr="00092690">
        <w:rPr>
          <w:spacing w:val="-2"/>
          <w:sz w:val="28"/>
          <w:szCs w:val="28"/>
        </w:rPr>
        <w:t>6,2</w:t>
      </w:r>
      <w:r w:rsidRPr="00092690">
        <w:rPr>
          <w:spacing w:val="-2"/>
          <w:sz w:val="28"/>
          <w:szCs w:val="28"/>
          <w:lang w:val="vi-VN"/>
        </w:rPr>
        <w:t xml:space="preserve">%; </w:t>
      </w:r>
      <w:r w:rsidRPr="00092690">
        <w:rPr>
          <w:spacing w:val="-2"/>
          <w:sz w:val="28"/>
          <w:szCs w:val="28"/>
        </w:rPr>
        <w:t>Thanh Hóa 1.911 tỷ đồng, bằng 30,4% và tăng 40,3%;</w:t>
      </w:r>
      <w:r w:rsidRPr="00092690">
        <w:rPr>
          <w:spacing w:val="-2"/>
          <w:sz w:val="28"/>
          <w:szCs w:val="28"/>
          <w:lang w:val="vi-VN"/>
        </w:rPr>
        <w:t xml:space="preserve"> Nghệ An </w:t>
      </w:r>
      <w:r w:rsidRPr="00092690">
        <w:rPr>
          <w:spacing w:val="-2"/>
          <w:sz w:val="28"/>
          <w:szCs w:val="28"/>
        </w:rPr>
        <w:t>1.716</w:t>
      </w:r>
      <w:r w:rsidRPr="00092690">
        <w:rPr>
          <w:spacing w:val="-2"/>
          <w:sz w:val="28"/>
          <w:szCs w:val="28"/>
          <w:lang w:val="vi-VN"/>
        </w:rPr>
        <w:t xml:space="preserve"> tỷ đồng, bằng </w:t>
      </w:r>
      <w:r w:rsidRPr="00092690">
        <w:rPr>
          <w:spacing w:val="-2"/>
          <w:sz w:val="28"/>
          <w:szCs w:val="28"/>
        </w:rPr>
        <w:t>29,3</w:t>
      </w:r>
      <w:r w:rsidRPr="00092690">
        <w:rPr>
          <w:spacing w:val="-2"/>
          <w:sz w:val="28"/>
          <w:szCs w:val="28"/>
          <w:lang w:val="vi-VN"/>
        </w:rPr>
        <w:t xml:space="preserve">% và </w:t>
      </w:r>
      <w:r w:rsidRPr="00092690">
        <w:rPr>
          <w:spacing w:val="-2"/>
          <w:sz w:val="28"/>
          <w:szCs w:val="28"/>
        </w:rPr>
        <w:t>giảm</w:t>
      </w:r>
      <w:r w:rsidRPr="00092690">
        <w:rPr>
          <w:spacing w:val="-2"/>
          <w:sz w:val="28"/>
          <w:szCs w:val="28"/>
          <w:lang w:val="vi-VN"/>
        </w:rPr>
        <w:t xml:space="preserve"> </w:t>
      </w:r>
      <w:r w:rsidRPr="00092690">
        <w:rPr>
          <w:spacing w:val="-2"/>
          <w:sz w:val="28"/>
          <w:szCs w:val="28"/>
        </w:rPr>
        <w:t>4</w:t>
      </w:r>
      <w:r w:rsidRPr="00092690">
        <w:rPr>
          <w:spacing w:val="-2"/>
          <w:sz w:val="28"/>
          <w:szCs w:val="28"/>
          <w:lang w:val="vi-VN"/>
        </w:rPr>
        <w:t>%;</w:t>
      </w:r>
      <w:r w:rsidRPr="00092690">
        <w:rPr>
          <w:spacing w:val="-2"/>
          <w:sz w:val="28"/>
          <w:szCs w:val="28"/>
        </w:rPr>
        <w:t xml:space="preserve"> Bà Rịa - Vũng Tàu</w:t>
      </w:r>
      <w:r w:rsidRPr="00092690">
        <w:rPr>
          <w:spacing w:val="-2"/>
          <w:sz w:val="28"/>
          <w:szCs w:val="28"/>
          <w:lang w:val="vi-VN"/>
        </w:rPr>
        <w:t xml:space="preserve"> </w:t>
      </w:r>
      <w:r w:rsidRPr="00092690">
        <w:rPr>
          <w:spacing w:val="-2"/>
          <w:sz w:val="28"/>
          <w:szCs w:val="28"/>
        </w:rPr>
        <w:t xml:space="preserve">1.714 </w:t>
      </w:r>
      <w:r w:rsidRPr="00092690">
        <w:rPr>
          <w:spacing w:val="-2"/>
          <w:sz w:val="28"/>
          <w:szCs w:val="28"/>
          <w:lang w:val="vi-VN"/>
        </w:rPr>
        <w:t xml:space="preserve">tỷ đồng, bằng </w:t>
      </w:r>
      <w:r w:rsidRPr="00092690">
        <w:rPr>
          <w:spacing w:val="-2"/>
          <w:sz w:val="28"/>
          <w:szCs w:val="28"/>
        </w:rPr>
        <w:t>26,3</w:t>
      </w:r>
      <w:r w:rsidRPr="00092690">
        <w:rPr>
          <w:spacing w:val="-2"/>
          <w:sz w:val="28"/>
          <w:szCs w:val="28"/>
          <w:lang w:val="vi-VN"/>
        </w:rPr>
        <w:t xml:space="preserve">% và </w:t>
      </w:r>
      <w:r w:rsidRPr="00092690">
        <w:rPr>
          <w:spacing w:val="-2"/>
          <w:sz w:val="28"/>
          <w:szCs w:val="28"/>
        </w:rPr>
        <w:t>tăng 19,1</w:t>
      </w:r>
      <w:r w:rsidRPr="00092690">
        <w:rPr>
          <w:spacing w:val="-2"/>
          <w:sz w:val="28"/>
          <w:szCs w:val="28"/>
          <w:lang w:val="vi-VN"/>
        </w:rPr>
        <w:t>%</w:t>
      </w:r>
      <w:r w:rsidRPr="00092690">
        <w:rPr>
          <w:spacing w:val="-2"/>
          <w:sz w:val="28"/>
          <w:szCs w:val="28"/>
        </w:rPr>
        <w:t>; Hải Phòng</w:t>
      </w:r>
      <w:r w:rsidRPr="00092690">
        <w:rPr>
          <w:spacing w:val="-2"/>
          <w:sz w:val="28"/>
          <w:szCs w:val="28"/>
          <w:lang w:val="vi-VN"/>
        </w:rPr>
        <w:t xml:space="preserve"> </w:t>
      </w:r>
      <w:r w:rsidRPr="00092690">
        <w:rPr>
          <w:spacing w:val="-2"/>
          <w:sz w:val="28"/>
          <w:szCs w:val="28"/>
        </w:rPr>
        <w:t>1.697</w:t>
      </w:r>
      <w:r w:rsidRPr="00092690">
        <w:rPr>
          <w:spacing w:val="-2"/>
          <w:sz w:val="28"/>
          <w:szCs w:val="28"/>
          <w:lang w:val="vi-VN"/>
        </w:rPr>
        <w:t xml:space="preserve"> tỷ đồng, bằng </w:t>
      </w:r>
      <w:r w:rsidRPr="00092690">
        <w:rPr>
          <w:spacing w:val="-2"/>
          <w:sz w:val="28"/>
          <w:szCs w:val="28"/>
        </w:rPr>
        <w:t>18,6</w:t>
      </w:r>
      <w:r w:rsidRPr="00092690">
        <w:rPr>
          <w:spacing w:val="-2"/>
          <w:sz w:val="28"/>
          <w:szCs w:val="28"/>
          <w:lang w:val="vi-VN"/>
        </w:rPr>
        <w:t xml:space="preserve">% và </w:t>
      </w:r>
      <w:r w:rsidRPr="00092690">
        <w:rPr>
          <w:spacing w:val="-2"/>
          <w:sz w:val="28"/>
          <w:szCs w:val="28"/>
        </w:rPr>
        <w:t>tăng</w:t>
      </w:r>
      <w:r w:rsidRPr="00092690">
        <w:rPr>
          <w:spacing w:val="-2"/>
          <w:sz w:val="28"/>
          <w:szCs w:val="28"/>
          <w:lang w:val="vi-VN"/>
        </w:rPr>
        <w:t xml:space="preserve"> </w:t>
      </w:r>
      <w:r w:rsidRPr="00092690">
        <w:rPr>
          <w:spacing w:val="-2"/>
          <w:sz w:val="28"/>
          <w:szCs w:val="28"/>
        </w:rPr>
        <w:t>57,9</w:t>
      </w:r>
      <w:r w:rsidRPr="00092690">
        <w:rPr>
          <w:spacing w:val="-2"/>
          <w:sz w:val="28"/>
          <w:szCs w:val="28"/>
          <w:lang w:val="vi-VN"/>
        </w:rPr>
        <w:t>%</w:t>
      </w:r>
      <w:r w:rsidRPr="00092690">
        <w:rPr>
          <w:spacing w:val="-2"/>
          <w:sz w:val="28"/>
          <w:szCs w:val="28"/>
        </w:rPr>
        <w:t>; Vĩnh Phúc</w:t>
      </w:r>
      <w:r w:rsidRPr="00092690">
        <w:rPr>
          <w:spacing w:val="-2"/>
          <w:sz w:val="28"/>
          <w:szCs w:val="28"/>
          <w:lang w:val="vi-VN"/>
        </w:rPr>
        <w:t xml:space="preserve"> </w:t>
      </w:r>
      <w:r w:rsidRPr="00092690">
        <w:rPr>
          <w:spacing w:val="-2"/>
          <w:sz w:val="28"/>
          <w:szCs w:val="28"/>
        </w:rPr>
        <w:t xml:space="preserve">1.672 </w:t>
      </w:r>
      <w:r w:rsidRPr="00092690">
        <w:rPr>
          <w:spacing w:val="-2"/>
          <w:sz w:val="28"/>
          <w:szCs w:val="28"/>
          <w:lang w:val="vi-VN"/>
        </w:rPr>
        <w:t xml:space="preserve">tỷ đồng, bằng </w:t>
      </w:r>
      <w:r w:rsidRPr="00092690">
        <w:rPr>
          <w:spacing w:val="-2"/>
          <w:sz w:val="28"/>
          <w:szCs w:val="28"/>
        </w:rPr>
        <w:t>28,1</w:t>
      </w:r>
      <w:r w:rsidRPr="00092690">
        <w:rPr>
          <w:spacing w:val="-2"/>
          <w:sz w:val="28"/>
          <w:szCs w:val="28"/>
          <w:lang w:val="vi-VN"/>
        </w:rPr>
        <w:t xml:space="preserve">% và </w:t>
      </w:r>
      <w:r w:rsidRPr="00092690">
        <w:rPr>
          <w:spacing w:val="-2"/>
          <w:sz w:val="28"/>
          <w:szCs w:val="28"/>
        </w:rPr>
        <w:t>tăng 1,3</w:t>
      </w:r>
      <w:r w:rsidRPr="00092690">
        <w:rPr>
          <w:spacing w:val="-2"/>
          <w:sz w:val="28"/>
          <w:szCs w:val="28"/>
          <w:lang w:val="vi-VN"/>
        </w:rPr>
        <w:t>%</w:t>
      </w:r>
      <w:r w:rsidRPr="00092690">
        <w:rPr>
          <w:spacing w:val="-2"/>
          <w:sz w:val="28"/>
          <w:szCs w:val="28"/>
        </w:rPr>
        <w:t>.</w:t>
      </w:r>
    </w:p>
    <w:p w:rsidR="008C63DB" w:rsidRPr="00190D72" w:rsidRDefault="008C63DB" w:rsidP="00527F1D">
      <w:pPr>
        <w:spacing w:before="40" w:after="40" w:line="288" w:lineRule="auto"/>
        <w:ind w:firstLine="567"/>
        <w:jc w:val="both"/>
      </w:pPr>
      <w:r w:rsidRPr="00190D72">
        <w:t>Đầu tư trực tiếp của nước ngoài từ đầu năm đến thời điểm 20/4/2018 thu hút 883 dự án cấp phép mới với số vốn đăng ký đạt 3.553,8 triệu USD, tăng 20,3% về số dự án và giảm 27,2% về vốn đăng ký so với cùng kỳ năm 2017. Bên cạnh đó, có 303 lượt dự án đã cấp phép từ các năm trước đăng ký điều chỉnh vốn đầu tư với số vốn tăng thêm đạt 2.244,8 triệu USD, giảm 48,5% so với cùng kỳ năm trước. Như vậy, tổng số vốn đăng ký cấp mới và vốn tăng thêm trong 4 tháng đạt 5.798,6 triệu USD, giảm 37,3% so với cùng kỳ năm 2017. Vốn đầu tư trực tiếp nước ngoài thực hiện 4 tháng</w:t>
      </w:r>
      <w:r w:rsidR="00340518" w:rsidRPr="00190D72">
        <w:t xml:space="preserve"> đầu năm</w:t>
      </w:r>
      <w:r w:rsidRPr="00190D72">
        <w:t xml:space="preserve"> ước tính đạt </w:t>
      </w:r>
      <w:r w:rsidRPr="00190D72">
        <w:lastRenderedPageBreak/>
        <w:t xml:space="preserve">5,1 tỷ USD, tăng 6,3% so với cùng kỳ năm 2017. Trong 4 tháng năm 2018 còn có 1.863 lượt góp vốn, mua cổ phần của nhà đầu tư nước ngoài với tổng giá trị góp vốn là 2.262,9 triệu USD, tăng 67% so với cùng kỳ năm 2017, trong đó có 1.087 lượt góp vốn, mua cổ phần làm tăng vốn điều lệ của doanh nghiệp với giá trị vốn góp là 1,56 tỷ USD và 776 lượt nhà đầu tư nước ngoài mua lại cổ phần trong nước mà không làm tăng vốn điều lệ với giá trị 703,5 triệu USD. </w:t>
      </w:r>
    </w:p>
    <w:p w:rsidR="008C63DB" w:rsidRPr="00190D72" w:rsidRDefault="008C63DB" w:rsidP="00527F1D">
      <w:pPr>
        <w:spacing w:before="40" w:after="40" w:line="283" w:lineRule="auto"/>
        <w:ind w:firstLine="567"/>
        <w:jc w:val="both"/>
      </w:pPr>
      <w:r w:rsidRPr="00190D72">
        <w:t>Trong 4 tháng, ngành công nghiệp chế biến, chế tạo thu hút đầu tư trực tiếp nước ngoài lớn nhất với số vốn đăng ký của các dự án được cấp phép mới đạt 1.926,1 triệu USD, chiếm 54,2% tổng vốn đăng ký cấp mới; hoạt động kinh doanh bất động sản đạt 455,5 triệu USD, chiếm 12,8%; các ngành còn lại đạt 1.172,2 triệu USD, chiếm 33%. Nếu tính cả vốn đăng ký bổ sung của các dự án đã cấp phép từ các năm trước thì vốn đầu tư trực tiếp nước ngoài vào ngành công nghiệp chế biến, chế tạo trong 4 tháng năm nay đạt 3.945 triệu USD, chiếm 68% tổng vốn đăng ký; hoạt động kinh doanh bất động sản đạt 564,5 triệu USD, chiếm 9,8%; các ngành còn lại đạt 1.289,1 triệu USD, chiếm 22,2%. Đối với hình thức góp vốn, mua cổ phần của nhà đầu tư nước ngoài, vốn đầu tư vào ngành công nghiệp chế biến, chế tạo đạt 578,3 triệu USD, chiếm 25,5% tổng giá trị góp vốn; ngành bán buôn và bán lẻ; sửa chữa ô tô, mô tô, xe máy và xe có động cơ đạt 392,8 triệu USD, chiếm 17,4%; các ngành còn lại đạt 1.291,8 triệu USD, chiếm 57,1%.</w:t>
      </w:r>
    </w:p>
    <w:p w:rsidR="008C63DB" w:rsidRPr="00190D72" w:rsidRDefault="008C63DB" w:rsidP="00527F1D">
      <w:pPr>
        <w:spacing w:before="40" w:after="40" w:line="283" w:lineRule="auto"/>
        <w:ind w:firstLine="567"/>
        <w:jc w:val="both"/>
      </w:pPr>
      <w:r w:rsidRPr="00190D72">
        <w:t>Cả nước có 37 tỉnh, thành phố trực thuộc Trung ương có dự án đầu tư trực tiếp nước ngoài được cấp phép mới trong 4 tháng đầu năm, trong đó Hà Nội có số vốn đăng ký lớn nhất với 498,7 triệu USD, chiếm 14% tổng vốn đăng ký cấp mới; tiếp đến là thành phố Hồ Chí Minh 408 triệu USD, chiếm 11,5%; Bình Dương 364,8 triệu USD, chiếm 10,3%; Ninh Thuận 327,6 triệu USD, chiếm 9,2%; Đồng Nai 273,9 triệu USD, chiếm 7,7%; Hà Nam 187,7 triệu USD, chiếm 5,3%; Bà Rịa - Vũng Tàu 182,7 triệu USD, chiếm 5,1%; Quảng Ninh 176,6 triệu USD, chiếm 5%.</w:t>
      </w:r>
    </w:p>
    <w:p w:rsidR="008C63DB" w:rsidRPr="00190D72" w:rsidRDefault="008C63DB" w:rsidP="00527F1D">
      <w:pPr>
        <w:spacing w:before="40" w:after="40" w:line="283" w:lineRule="auto"/>
        <w:ind w:firstLine="567"/>
        <w:jc w:val="both"/>
      </w:pPr>
      <w:r w:rsidRPr="00190D72">
        <w:t>Trong số 45 quốc gia và vùng lãnh thổ có dự án đầu tư được cấp phép mới tại Việt Nam trong 4 tháng năm nay, Nhật Bản là nhà đầu tư lớn nhất với 877,7 triệu USD, chiếm 24,7% tổng vốn đăng ký cấp mới; tiếp đến là Hàn Quốc 830,8 triệu USD, chiếm 23,4%; Xin-ga-po 459,2 triệu USD, chiếm 12,9%; Trung Quốc 229,6 triệu USD, chiếm 6,5%; Đặc khu Hành chính Hồng Công (TQ) 172,5 triệu USD, chiếm 4,9%; Hà Lan 170,6 triệu USD, chiếm 4,8%; Thái Lan 168,5 triệu USD, chiếm 4,7%.</w:t>
      </w:r>
    </w:p>
    <w:p w:rsidR="008C63DB" w:rsidRPr="00190D72" w:rsidRDefault="008C134B" w:rsidP="00527F1D">
      <w:pPr>
        <w:pStyle w:val="NormalWeb"/>
        <w:shd w:val="clear" w:color="auto" w:fill="FFFFFF"/>
        <w:spacing w:before="40" w:beforeAutospacing="0" w:after="40" w:afterAutospacing="0" w:line="283" w:lineRule="auto"/>
        <w:ind w:firstLine="567"/>
        <w:jc w:val="both"/>
        <w:rPr>
          <w:sz w:val="28"/>
          <w:szCs w:val="28"/>
        </w:rPr>
      </w:pPr>
      <w:r w:rsidRPr="00190D72">
        <w:rPr>
          <w:sz w:val="28"/>
          <w:szCs w:val="28"/>
        </w:rPr>
        <w:t>Về đ</w:t>
      </w:r>
      <w:r w:rsidR="008C63DB" w:rsidRPr="00190D72">
        <w:rPr>
          <w:sz w:val="28"/>
          <w:szCs w:val="28"/>
        </w:rPr>
        <w:t>ầu tư của Việt Nam ra nước ngoài</w:t>
      </w:r>
      <w:r w:rsidRPr="00190D72">
        <w:rPr>
          <w:sz w:val="28"/>
          <w:szCs w:val="28"/>
        </w:rPr>
        <w:t>,</w:t>
      </w:r>
      <w:r w:rsidR="008C63DB" w:rsidRPr="00190D72">
        <w:rPr>
          <w:sz w:val="28"/>
          <w:szCs w:val="28"/>
        </w:rPr>
        <w:t xml:space="preserve"> trong 4 tháng</w:t>
      </w:r>
      <w:r w:rsidR="00663280">
        <w:rPr>
          <w:sz w:val="28"/>
          <w:szCs w:val="28"/>
        </w:rPr>
        <w:t xml:space="preserve"> năm</w:t>
      </w:r>
      <w:r w:rsidR="008C63DB" w:rsidRPr="00190D72">
        <w:rPr>
          <w:sz w:val="28"/>
          <w:szCs w:val="28"/>
        </w:rPr>
        <w:t xml:space="preserve"> 2018 có 34 dự án được cấp mới giấy chứng nhận đầu tư ra nước ngoài với tổng vốn đầu tư của phía Việt Nam là 129 triệu USD,</w:t>
      </w:r>
      <w:r w:rsidRPr="00190D72">
        <w:rPr>
          <w:sz w:val="28"/>
          <w:szCs w:val="28"/>
        </w:rPr>
        <w:t xml:space="preserve"> đồng thời 4 tháng năm nay </w:t>
      </w:r>
      <w:r w:rsidR="008C63DB" w:rsidRPr="00663280">
        <w:rPr>
          <w:sz w:val="28"/>
          <w:szCs w:val="28"/>
        </w:rPr>
        <w:t xml:space="preserve">có 11 dự án điều </w:t>
      </w:r>
      <w:r w:rsidR="008C63DB" w:rsidRPr="00663280">
        <w:rPr>
          <w:sz w:val="28"/>
          <w:szCs w:val="28"/>
        </w:rPr>
        <w:lastRenderedPageBreak/>
        <w:t>chỉnh vốn với số vốn tăng thêm là 24,6 triệu USD. Tính chung</w:t>
      </w:r>
      <w:r w:rsidR="008C63DB" w:rsidRPr="00190D72">
        <w:rPr>
          <w:sz w:val="28"/>
          <w:szCs w:val="28"/>
        </w:rPr>
        <w:t xml:space="preserve"> vốn cấp mới và tăng thêm, tổng vốn đầu tư Việt Nam ra nước ngoài trong 4 tháng năm </w:t>
      </w:r>
      <w:r w:rsidRPr="00190D72">
        <w:rPr>
          <w:sz w:val="28"/>
          <w:szCs w:val="28"/>
        </w:rPr>
        <w:t>2018</w:t>
      </w:r>
      <w:r w:rsidR="008C63DB" w:rsidRPr="00190D72">
        <w:rPr>
          <w:sz w:val="28"/>
          <w:szCs w:val="28"/>
        </w:rPr>
        <w:t xml:space="preserve"> đạt 153,6 triệu USD, trong đó lĩnh vực tài chính, ngân hàng đạt 105 triệu USD, chiếm 68,3% tổng vốn đầu tư; lĩnh vực công nghiệp chế biến, chế tạo đạt 20,3 triệu USD, chiếm 13,2%; lĩnh vực bán buôn và bán lẻ; sửa chữa ô tô, mô tô, xe máy và xe có động cơ đạt 12,9 triệu USD, chiế</w:t>
      </w:r>
      <w:r w:rsidR="00C260ED" w:rsidRPr="00190D72">
        <w:rPr>
          <w:sz w:val="28"/>
          <w:szCs w:val="28"/>
        </w:rPr>
        <w:t>m 8,4%. Trong 4 tháng</w:t>
      </w:r>
      <w:r w:rsidR="008C63DB" w:rsidRPr="00190D72">
        <w:rPr>
          <w:sz w:val="28"/>
          <w:szCs w:val="28"/>
        </w:rPr>
        <w:t xml:space="preserve"> có 19 quốc gia, vùng lãnh thổ nhận đầu tư của Việt Nam,</w:t>
      </w:r>
      <w:r w:rsidRPr="00190D72">
        <w:rPr>
          <w:sz w:val="28"/>
          <w:szCs w:val="28"/>
        </w:rPr>
        <w:t xml:space="preserve"> trong đó</w:t>
      </w:r>
      <w:r w:rsidR="008C63DB" w:rsidRPr="00190D72">
        <w:rPr>
          <w:sz w:val="28"/>
          <w:szCs w:val="28"/>
        </w:rPr>
        <w:t xml:space="preserve"> dẫn đầu là Lào chiếm 52,2% tổng vốn đầu tư; Cam-pu-chia chiếm 16,9%; Cu-ba chiếm 13%.</w:t>
      </w:r>
    </w:p>
    <w:p w:rsidR="000F6092" w:rsidRPr="00190D72" w:rsidRDefault="000F6092" w:rsidP="00527F1D">
      <w:pPr>
        <w:spacing w:before="40" w:after="40" w:line="300" w:lineRule="auto"/>
        <w:ind w:firstLine="567"/>
        <w:jc w:val="both"/>
        <w:rPr>
          <w:b/>
          <w:bCs/>
          <w:lang w:val="en-GB"/>
        </w:rPr>
      </w:pPr>
      <w:r w:rsidRPr="00190D72">
        <w:rPr>
          <w:b/>
          <w:bCs/>
        </w:rPr>
        <w:t>5</w:t>
      </w:r>
      <w:r w:rsidRPr="00190D72">
        <w:rPr>
          <w:b/>
          <w:bCs/>
          <w:lang w:val="vi-VN"/>
        </w:rPr>
        <w:t>. Thu, chi ngân sách Nhà nước</w:t>
      </w:r>
    </w:p>
    <w:p w:rsidR="00920C39" w:rsidRPr="00190D72" w:rsidRDefault="00920C39" w:rsidP="00527F1D">
      <w:pPr>
        <w:spacing w:before="40" w:after="40" w:line="300" w:lineRule="auto"/>
        <w:ind w:firstLine="567"/>
        <w:jc w:val="both"/>
      </w:pPr>
      <w:r w:rsidRPr="00190D72">
        <w:rPr>
          <w:lang w:val="vi-VN"/>
        </w:rPr>
        <w:t>Tổng thu ngân sách Nhà nước từ đầu năm đến thời điểm 15/</w:t>
      </w:r>
      <w:r w:rsidRPr="00190D72">
        <w:t>4</w:t>
      </w:r>
      <w:r w:rsidRPr="00190D72">
        <w:rPr>
          <w:lang w:val="vi-VN"/>
        </w:rPr>
        <w:t>/201</w:t>
      </w:r>
      <w:r w:rsidRPr="00190D72">
        <w:t>8</w:t>
      </w:r>
      <w:r w:rsidRPr="00190D72">
        <w:rPr>
          <w:lang w:val="vi-VN"/>
        </w:rPr>
        <w:t xml:space="preserve"> ước tính đạt </w:t>
      </w:r>
      <w:r w:rsidRPr="00190D72">
        <w:t>364,6</w:t>
      </w:r>
      <w:r w:rsidRPr="00190D72">
        <w:rPr>
          <w:lang w:val="vi-VN"/>
        </w:rPr>
        <w:t xml:space="preserve"> nghìn tỷ đồng, bằng </w:t>
      </w:r>
      <w:r w:rsidRPr="00190D72">
        <w:t>27,6</w:t>
      </w:r>
      <w:r w:rsidRPr="00190D72">
        <w:rPr>
          <w:lang w:val="vi-VN"/>
        </w:rPr>
        <w:t xml:space="preserve">% dự toán năm, trong đó thu nội địa đạt </w:t>
      </w:r>
      <w:r w:rsidRPr="00190D72">
        <w:t>295,7</w:t>
      </w:r>
      <w:r w:rsidRPr="00190D72">
        <w:rPr>
          <w:lang w:val="vi-VN"/>
        </w:rPr>
        <w:t xml:space="preserve"> nghìn tỷ đồng, bằng </w:t>
      </w:r>
      <w:r w:rsidRPr="00190D72">
        <w:t>26,9</w:t>
      </w:r>
      <w:r w:rsidRPr="00190D72">
        <w:rPr>
          <w:lang w:val="vi-VN"/>
        </w:rPr>
        <w:t xml:space="preserve">%; thu từ dầu thô đạt </w:t>
      </w:r>
      <w:r w:rsidRPr="00190D72">
        <w:t>16,3</w:t>
      </w:r>
      <w:r w:rsidRPr="00190D72">
        <w:rPr>
          <w:lang w:val="vi-VN"/>
        </w:rPr>
        <w:t xml:space="preserve"> nghìn tỷ đồng, bằng </w:t>
      </w:r>
      <w:r w:rsidRPr="00190D72">
        <w:t>45,5</w:t>
      </w:r>
      <w:r w:rsidRPr="00190D72">
        <w:rPr>
          <w:lang w:val="vi-VN"/>
        </w:rPr>
        <w:t xml:space="preserve">%; thu cân đối ngân sách từ hoạt động xuất, nhập khẩu đạt </w:t>
      </w:r>
      <w:r w:rsidRPr="00190D72">
        <w:t>52,4</w:t>
      </w:r>
      <w:r w:rsidRPr="00190D72">
        <w:rPr>
          <w:lang w:val="vi-VN"/>
        </w:rPr>
        <w:t xml:space="preserve"> nghìn tỷ đồng, bằng </w:t>
      </w:r>
      <w:r w:rsidRPr="00190D72">
        <w:t>29,3</w:t>
      </w:r>
      <w:r w:rsidRPr="00190D72">
        <w:rPr>
          <w:lang w:val="vi-VN"/>
        </w:rPr>
        <w:t xml:space="preserve">%. Trong thu nội địa, thu từ khu vực doanh nghiệp Nhà nước đạt </w:t>
      </w:r>
      <w:r w:rsidRPr="00190D72">
        <w:t>35,2</w:t>
      </w:r>
      <w:r w:rsidRPr="00190D72">
        <w:rPr>
          <w:lang w:val="vi-VN"/>
        </w:rPr>
        <w:t xml:space="preserve"> nghìn tỷ đồng, bằng </w:t>
      </w:r>
      <w:r w:rsidRPr="00190D72">
        <w:t>21,1</w:t>
      </w:r>
      <w:r w:rsidRPr="00190D72">
        <w:rPr>
          <w:lang w:val="vi-VN"/>
        </w:rPr>
        <w:t>% dự toán năm</w:t>
      </w:r>
      <w:r w:rsidRPr="00190D72">
        <w:t>;</w:t>
      </w:r>
      <w:r w:rsidRPr="00190D72">
        <w:rPr>
          <w:lang w:val="vi-VN"/>
        </w:rPr>
        <w:t xml:space="preserve"> thu từ doanh nghiệp có vốn đầu tư nước ngoài (không kể dầu thô) </w:t>
      </w:r>
      <w:r w:rsidRPr="00190D72">
        <w:t>48,1</w:t>
      </w:r>
      <w:r w:rsidRPr="00190D72">
        <w:rPr>
          <w:lang w:val="vi-VN"/>
        </w:rPr>
        <w:t xml:space="preserve"> nghìn tỷ đồng, bằng </w:t>
      </w:r>
      <w:r w:rsidRPr="00190D72">
        <w:t>21,6</w:t>
      </w:r>
      <w:r w:rsidRPr="00190D72">
        <w:rPr>
          <w:lang w:val="vi-VN"/>
        </w:rPr>
        <w:t>%</w:t>
      </w:r>
      <w:r w:rsidRPr="00190D72">
        <w:t>;</w:t>
      </w:r>
      <w:r w:rsidRPr="00190D72">
        <w:rPr>
          <w:lang w:val="vi-VN"/>
        </w:rPr>
        <w:t xml:space="preserve"> thu thuế công, thương nghiệp và dịch vụ ngoài Nhà nước </w:t>
      </w:r>
      <w:r w:rsidRPr="00190D72">
        <w:t>60,1</w:t>
      </w:r>
      <w:r w:rsidRPr="00190D72">
        <w:rPr>
          <w:lang w:val="vi-VN"/>
        </w:rPr>
        <w:t xml:space="preserve"> nghìn tỷ đồng, bằng </w:t>
      </w:r>
      <w:r w:rsidRPr="00190D72">
        <w:t>27,6</w:t>
      </w:r>
      <w:r w:rsidRPr="00190D72">
        <w:rPr>
          <w:lang w:val="vi-VN"/>
        </w:rPr>
        <w:t>%;</w:t>
      </w:r>
      <w:r w:rsidRPr="00190D72">
        <w:t xml:space="preserve"> thu</w:t>
      </w:r>
      <w:r w:rsidRPr="00190D72">
        <w:rPr>
          <w:lang w:val="vi-VN"/>
        </w:rPr>
        <w:t xml:space="preserve"> thuế thu nhập cá nhân </w:t>
      </w:r>
      <w:r w:rsidRPr="00190D72">
        <w:t>31,2</w:t>
      </w:r>
      <w:r w:rsidRPr="00190D72">
        <w:rPr>
          <w:lang w:val="vi-VN"/>
        </w:rPr>
        <w:t xml:space="preserve"> nghìn tỷ đồng, bằng </w:t>
      </w:r>
      <w:r w:rsidRPr="00190D72">
        <w:t>32,2</w:t>
      </w:r>
      <w:r w:rsidRPr="00190D72">
        <w:rPr>
          <w:lang w:val="vi-VN"/>
        </w:rPr>
        <w:t>%</w:t>
      </w:r>
      <w:r w:rsidRPr="00190D72">
        <w:t xml:space="preserve">; thu </w:t>
      </w:r>
      <w:r w:rsidRPr="00190D72">
        <w:rPr>
          <w:lang w:val="vi-VN"/>
        </w:rPr>
        <w:t xml:space="preserve">thuế bảo vệ môi trường </w:t>
      </w:r>
      <w:r w:rsidRPr="00190D72">
        <w:t>10,2</w:t>
      </w:r>
      <w:r w:rsidRPr="00190D72">
        <w:rPr>
          <w:lang w:val="vi-VN"/>
        </w:rPr>
        <w:t xml:space="preserve"> nghìn tỷ đồng, bằng </w:t>
      </w:r>
      <w:r w:rsidRPr="00190D72">
        <w:t>20,9</w:t>
      </w:r>
      <w:r w:rsidRPr="00190D72">
        <w:rPr>
          <w:lang w:val="vi-VN"/>
        </w:rPr>
        <w:t>%</w:t>
      </w:r>
      <w:r w:rsidRPr="00190D72">
        <w:t>;</w:t>
      </w:r>
      <w:r w:rsidRPr="00190D72">
        <w:rPr>
          <w:lang w:val="vi-VN"/>
        </w:rPr>
        <w:t xml:space="preserve"> thu tiền sử dụng đất đạt </w:t>
      </w:r>
      <w:r w:rsidRPr="00190D72">
        <w:t>32,2</w:t>
      </w:r>
      <w:r w:rsidRPr="00190D72">
        <w:rPr>
          <w:lang w:val="vi-VN"/>
        </w:rPr>
        <w:t xml:space="preserve"> nghìn tỷ đồng, bằng </w:t>
      </w:r>
      <w:r w:rsidRPr="00190D72">
        <w:t>37,5</w:t>
      </w:r>
      <w:r w:rsidRPr="00190D72">
        <w:rPr>
          <w:lang w:val="vi-VN"/>
        </w:rPr>
        <w:t>%</w:t>
      </w:r>
      <w:r w:rsidRPr="00190D72">
        <w:t>.</w:t>
      </w:r>
    </w:p>
    <w:p w:rsidR="007326F3" w:rsidRPr="00190D72" w:rsidRDefault="00920C39" w:rsidP="00527F1D">
      <w:pPr>
        <w:spacing w:before="40" w:after="40" w:line="300" w:lineRule="auto"/>
        <w:ind w:firstLine="567"/>
        <w:jc w:val="both"/>
        <w:rPr>
          <w:b/>
        </w:rPr>
      </w:pPr>
      <w:r w:rsidRPr="00190D72">
        <w:t>Tổng chi ngân sách Nhà nước từ đầu năm đến thời điểm 15/4/2018 ước tính đạt 353,3 nghìn tỷ đồng, bằng 23,2% dự toán năm, trong đó chi thường xuyên đạt 260,1 nghìn tỷ đồng, bằng 27,6%; chi đầu tư phát triển đạt 54,6 nghìn tỷ đồng, bằng 13,7%; chi trả nợ lãi 37,6 nghìn tỷ đồng, bằng 33,4%.</w:t>
      </w:r>
    </w:p>
    <w:p w:rsidR="003A35EA" w:rsidRPr="00190D72" w:rsidRDefault="000F6092" w:rsidP="00527F1D">
      <w:pPr>
        <w:pStyle w:val="normal0"/>
        <w:spacing w:before="40" w:beforeAutospacing="0" w:after="40" w:afterAutospacing="0" w:line="300" w:lineRule="auto"/>
        <w:ind w:firstLine="567"/>
        <w:jc w:val="both"/>
        <w:rPr>
          <w:b/>
          <w:bCs/>
          <w:sz w:val="28"/>
          <w:szCs w:val="28"/>
        </w:rPr>
      </w:pPr>
      <w:r w:rsidRPr="00190D72">
        <w:rPr>
          <w:b/>
          <w:bCs/>
          <w:sz w:val="28"/>
          <w:szCs w:val="28"/>
        </w:rPr>
        <w:t>6</w:t>
      </w:r>
      <w:r w:rsidR="003A35EA" w:rsidRPr="00190D72">
        <w:rPr>
          <w:b/>
          <w:bCs/>
          <w:sz w:val="28"/>
          <w:szCs w:val="28"/>
        </w:rPr>
        <w:t>. Thương mại, giá cả, vận tải và du lịch</w:t>
      </w:r>
    </w:p>
    <w:p w:rsidR="003A35EA" w:rsidRPr="00190D72" w:rsidRDefault="003A35EA" w:rsidP="00527F1D">
      <w:pPr>
        <w:spacing w:before="40" w:after="40" w:line="300" w:lineRule="auto"/>
        <w:ind w:firstLine="567"/>
        <w:jc w:val="both"/>
        <w:rPr>
          <w:b/>
          <w:bCs/>
          <w:i/>
          <w:iCs/>
        </w:rPr>
      </w:pPr>
      <w:r w:rsidRPr="00190D72">
        <w:rPr>
          <w:b/>
          <w:bCs/>
          <w:i/>
          <w:iCs/>
        </w:rPr>
        <w:t xml:space="preserve">a. Bán lẻ hàng hóa và </w:t>
      </w:r>
      <w:r w:rsidR="008669C1" w:rsidRPr="00190D72">
        <w:rPr>
          <w:b/>
          <w:bCs/>
          <w:i/>
          <w:iCs/>
        </w:rPr>
        <w:t xml:space="preserve">doanh thu </w:t>
      </w:r>
      <w:r w:rsidRPr="00190D72">
        <w:rPr>
          <w:b/>
          <w:bCs/>
          <w:i/>
          <w:iCs/>
        </w:rPr>
        <w:t xml:space="preserve">dịch vụ tiêu </w:t>
      </w:r>
      <w:r w:rsidR="00EA03BA" w:rsidRPr="00190D72">
        <w:rPr>
          <w:b/>
          <w:bCs/>
          <w:i/>
          <w:iCs/>
        </w:rPr>
        <w:t>d</w:t>
      </w:r>
      <w:r w:rsidR="00693B1B" w:rsidRPr="00190D72">
        <w:rPr>
          <w:b/>
          <w:bCs/>
          <w:i/>
          <w:iCs/>
        </w:rPr>
        <w:t>ùng</w:t>
      </w:r>
    </w:p>
    <w:p w:rsidR="007D0E02" w:rsidRPr="00190D72" w:rsidRDefault="007D0E02" w:rsidP="00527F1D">
      <w:pPr>
        <w:spacing w:before="40" w:after="40" w:line="300" w:lineRule="auto"/>
        <w:ind w:firstLine="567"/>
        <w:jc w:val="both"/>
        <w:rPr>
          <w:bCs/>
        </w:rPr>
      </w:pPr>
      <w:r w:rsidRPr="00190D72">
        <w:rPr>
          <w:bCs/>
        </w:rPr>
        <w:t>T</w:t>
      </w:r>
      <w:r w:rsidRPr="00190D72">
        <w:rPr>
          <w:bCs/>
          <w:lang w:val="vi-VN"/>
        </w:rPr>
        <w:t xml:space="preserve">ổng mức bán lẻ </w:t>
      </w:r>
      <w:r w:rsidRPr="00190D72">
        <w:rPr>
          <w:bCs/>
        </w:rPr>
        <w:t xml:space="preserve">hàng hóa </w:t>
      </w:r>
      <w:r w:rsidRPr="00190D72">
        <w:rPr>
          <w:bCs/>
          <w:lang w:val="vi-VN"/>
        </w:rPr>
        <w:t xml:space="preserve">và doanh thu dịch vụ tiêu dùng tháng </w:t>
      </w:r>
      <w:r w:rsidRPr="00190D72">
        <w:rPr>
          <w:bCs/>
        </w:rPr>
        <w:t xml:space="preserve">4/2018 </w:t>
      </w:r>
      <w:r w:rsidRPr="00190D72">
        <w:rPr>
          <w:bCs/>
          <w:lang w:val="vi-VN"/>
        </w:rPr>
        <w:t xml:space="preserve">ước tính đạt </w:t>
      </w:r>
      <w:r w:rsidRPr="00190D72">
        <w:rPr>
          <w:bCs/>
        </w:rPr>
        <w:t>350,5</w:t>
      </w:r>
      <w:r w:rsidRPr="00190D72">
        <w:rPr>
          <w:bCs/>
          <w:lang w:val="vi-VN"/>
        </w:rPr>
        <w:t xml:space="preserve"> nghìn tỷ đồng,</w:t>
      </w:r>
      <w:r w:rsidRPr="00190D72">
        <w:rPr>
          <w:bCs/>
        </w:rPr>
        <w:t xml:space="preserve"> tăng 1,7</w:t>
      </w:r>
      <w:r w:rsidRPr="00190D72">
        <w:rPr>
          <w:bCs/>
          <w:lang w:val="vi-VN"/>
        </w:rPr>
        <w:t xml:space="preserve">% so với tháng trước và tăng </w:t>
      </w:r>
      <w:r w:rsidRPr="00190D72">
        <w:rPr>
          <w:bCs/>
        </w:rPr>
        <w:t>9,5</w:t>
      </w:r>
      <w:r w:rsidRPr="00190D72">
        <w:rPr>
          <w:bCs/>
          <w:lang w:val="vi-VN"/>
        </w:rPr>
        <w:t xml:space="preserve">% so với cùng kỳ năm </w:t>
      </w:r>
      <w:r w:rsidRPr="00190D72">
        <w:rPr>
          <w:bCs/>
        </w:rPr>
        <w:t>2017</w:t>
      </w:r>
      <w:r w:rsidRPr="00190D72">
        <w:rPr>
          <w:bCs/>
          <w:lang w:val="vi-VN"/>
        </w:rPr>
        <w:t xml:space="preserve">, trong đó: Doanh thu bán lẻ hàng hóa đạt </w:t>
      </w:r>
      <w:r w:rsidRPr="00190D72">
        <w:rPr>
          <w:bCs/>
        </w:rPr>
        <w:t>265,8</w:t>
      </w:r>
      <w:r w:rsidRPr="00190D72">
        <w:rPr>
          <w:bCs/>
          <w:lang w:val="vi-VN"/>
        </w:rPr>
        <w:t xml:space="preserve"> nghìn tỷ đồng, </w:t>
      </w:r>
      <w:r w:rsidRPr="00190D72">
        <w:rPr>
          <w:bCs/>
        </w:rPr>
        <w:t>tăng 1,8</w:t>
      </w:r>
      <w:r w:rsidRPr="00190D72">
        <w:rPr>
          <w:bCs/>
          <w:lang w:val="vi-VN"/>
        </w:rPr>
        <w:t xml:space="preserve">% và tăng </w:t>
      </w:r>
      <w:r w:rsidRPr="00190D72">
        <w:rPr>
          <w:bCs/>
        </w:rPr>
        <w:t>10,9</w:t>
      </w:r>
      <w:r w:rsidRPr="00190D72">
        <w:rPr>
          <w:bCs/>
          <w:lang w:val="vi-VN"/>
        </w:rPr>
        <w:t>%; doanh thu</w:t>
      </w:r>
      <w:r w:rsidRPr="00190D72">
        <w:rPr>
          <w:lang w:val="vi-VN"/>
        </w:rPr>
        <w:t xml:space="preserve"> dịch vụ lưu trú, ăn uống đạt </w:t>
      </w:r>
      <w:r w:rsidRPr="00190D72">
        <w:t>43,8</w:t>
      </w:r>
      <w:r w:rsidRPr="00190D72">
        <w:rPr>
          <w:lang w:val="vi-VN"/>
        </w:rPr>
        <w:t xml:space="preserve"> nghìn tỷ đồng, </w:t>
      </w:r>
      <w:r w:rsidRPr="00190D72">
        <w:rPr>
          <w:bCs/>
        </w:rPr>
        <w:t>tăng 2,3</w:t>
      </w:r>
      <w:r w:rsidRPr="00190D72">
        <w:rPr>
          <w:bCs/>
          <w:lang w:val="vi-VN"/>
        </w:rPr>
        <w:t xml:space="preserve">% và </w:t>
      </w:r>
      <w:r w:rsidRPr="00190D72">
        <w:rPr>
          <w:bCs/>
        </w:rPr>
        <w:t>tăng</w:t>
      </w:r>
      <w:r w:rsidRPr="00190D72">
        <w:rPr>
          <w:bCs/>
          <w:lang w:val="vi-VN"/>
        </w:rPr>
        <w:t xml:space="preserve"> </w:t>
      </w:r>
      <w:r w:rsidRPr="00190D72">
        <w:rPr>
          <w:bCs/>
        </w:rPr>
        <w:t>12,3</w:t>
      </w:r>
      <w:r w:rsidRPr="00190D72">
        <w:rPr>
          <w:bCs/>
          <w:lang w:val="vi-VN"/>
        </w:rPr>
        <w:t xml:space="preserve">%; </w:t>
      </w:r>
      <w:r w:rsidRPr="00190D72">
        <w:rPr>
          <w:lang w:val="vi-VN"/>
        </w:rPr>
        <w:t>d</w:t>
      </w:r>
      <w:r w:rsidRPr="00190D72">
        <w:rPr>
          <w:bCs/>
          <w:lang w:val="vi-VN"/>
        </w:rPr>
        <w:t xml:space="preserve">oanh thu du lịch lữ hành đạt </w:t>
      </w:r>
      <w:r w:rsidRPr="00190D72">
        <w:rPr>
          <w:bCs/>
        </w:rPr>
        <w:t>2,8</w:t>
      </w:r>
      <w:r w:rsidRPr="00190D72">
        <w:rPr>
          <w:bCs/>
          <w:lang w:val="vi-VN"/>
        </w:rPr>
        <w:t xml:space="preserve"> nghìn tỷ đồng, </w:t>
      </w:r>
      <w:r w:rsidRPr="00190D72">
        <w:rPr>
          <w:bCs/>
        </w:rPr>
        <w:t>giảm 1,5</w:t>
      </w:r>
      <w:r w:rsidRPr="00190D72">
        <w:rPr>
          <w:bCs/>
          <w:lang w:val="vi-VN"/>
        </w:rPr>
        <w:t xml:space="preserve">% và </w:t>
      </w:r>
      <w:r w:rsidRPr="00190D72">
        <w:rPr>
          <w:bCs/>
        </w:rPr>
        <w:t>tăng</w:t>
      </w:r>
      <w:r w:rsidRPr="00190D72">
        <w:rPr>
          <w:bCs/>
          <w:lang w:val="vi-VN"/>
        </w:rPr>
        <w:t xml:space="preserve"> </w:t>
      </w:r>
      <w:r w:rsidRPr="00190D72">
        <w:rPr>
          <w:bCs/>
        </w:rPr>
        <w:t>11,4</w:t>
      </w:r>
      <w:r w:rsidRPr="00190D72">
        <w:rPr>
          <w:bCs/>
          <w:lang w:val="vi-VN"/>
        </w:rPr>
        <w:t xml:space="preserve">%; doanh thu dịch vụ khác đạt </w:t>
      </w:r>
      <w:r w:rsidRPr="00190D72">
        <w:rPr>
          <w:bCs/>
        </w:rPr>
        <w:t>38,1</w:t>
      </w:r>
      <w:r w:rsidRPr="00190D72">
        <w:rPr>
          <w:bCs/>
          <w:lang w:val="vi-VN"/>
        </w:rPr>
        <w:t xml:space="preserve"> nghìn tỷ đồng, </w:t>
      </w:r>
      <w:r w:rsidRPr="00190D72">
        <w:rPr>
          <w:bCs/>
        </w:rPr>
        <w:t>tăng 0,8</w:t>
      </w:r>
      <w:r w:rsidRPr="00190D72">
        <w:rPr>
          <w:bCs/>
          <w:lang w:val="vi-VN"/>
        </w:rPr>
        <w:t xml:space="preserve">% và </w:t>
      </w:r>
      <w:r w:rsidRPr="00190D72">
        <w:rPr>
          <w:bCs/>
        </w:rPr>
        <w:t>giảm 1,6</w:t>
      </w:r>
      <w:r w:rsidRPr="00190D72">
        <w:rPr>
          <w:bCs/>
          <w:lang w:val="vi-VN"/>
        </w:rPr>
        <w:t xml:space="preserve">%. </w:t>
      </w:r>
      <w:r w:rsidRPr="00190D72">
        <w:t xml:space="preserve">Tính chung 4 tháng đầu năm, tổng mức bán lẻ hàng hóa và doanh thu dịch vụ tiêu dùng ước tính đạt 1.399,4 nghìn tỷ đồng, tăng 9,8% so với cùng kỳ năm trước, nếu loại trừ yếu tố giá tăng 8,5% (cùng kỳ năm 2017 tăng 7,0%). </w:t>
      </w:r>
    </w:p>
    <w:p w:rsidR="007D0E02" w:rsidRPr="00092690" w:rsidRDefault="007D0E02" w:rsidP="00952AE4">
      <w:pPr>
        <w:tabs>
          <w:tab w:val="left" w:pos="0"/>
        </w:tabs>
        <w:spacing w:before="40" w:after="40" w:line="290" w:lineRule="auto"/>
        <w:ind w:firstLine="567"/>
        <w:jc w:val="both"/>
        <w:rPr>
          <w:spacing w:val="-2"/>
        </w:rPr>
      </w:pPr>
      <w:r w:rsidRPr="00092690">
        <w:rPr>
          <w:spacing w:val="-2"/>
        </w:rPr>
        <w:lastRenderedPageBreak/>
        <w:t xml:space="preserve">Xét theo ngành hoạt động, doanh thu bán lẻ hàng hóa </w:t>
      </w:r>
      <w:r w:rsidRPr="00092690">
        <w:rPr>
          <w:bCs/>
          <w:spacing w:val="-2"/>
        </w:rPr>
        <w:t>4</w:t>
      </w:r>
      <w:r w:rsidRPr="00092690">
        <w:rPr>
          <w:bCs/>
          <w:spacing w:val="-2"/>
          <w:lang w:val="vi-VN"/>
        </w:rPr>
        <w:t xml:space="preserve"> tháng </w:t>
      </w:r>
      <w:r w:rsidRPr="00092690">
        <w:rPr>
          <w:bCs/>
          <w:spacing w:val="-2"/>
          <w:lang w:val="en-GB"/>
        </w:rPr>
        <w:t>đầu năm</w:t>
      </w:r>
      <w:r w:rsidRPr="00092690">
        <w:rPr>
          <w:spacing w:val="-2"/>
        </w:rPr>
        <w:t xml:space="preserve"> ước tính đạt 1.060,2 nghìn tỷ đồng, chiếm 75,8% tổng mức và tăng 10,8% so với cùng kỳ năm trước, trong đó: </w:t>
      </w:r>
      <w:r w:rsidRPr="00092690">
        <w:rPr>
          <w:spacing w:val="-2"/>
          <w:lang w:val="sv-SE"/>
        </w:rPr>
        <w:t>L</w:t>
      </w:r>
      <w:r w:rsidRPr="00092690">
        <w:rPr>
          <w:spacing w:val="-2"/>
          <w:lang w:val="vi-VN"/>
        </w:rPr>
        <w:t xml:space="preserve">ương thực, thực phẩm tăng </w:t>
      </w:r>
      <w:r w:rsidRPr="00092690">
        <w:rPr>
          <w:spacing w:val="-2"/>
        </w:rPr>
        <w:t>11,9%</w:t>
      </w:r>
      <w:r w:rsidRPr="00092690">
        <w:rPr>
          <w:spacing w:val="-2"/>
          <w:lang w:val="vi-VN"/>
        </w:rPr>
        <w:t xml:space="preserve">; may mặc tăng </w:t>
      </w:r>
      <w:r w:rsidRPr="00092690">
        <w:rPr>
          <w:spacing w:val="-2"/>
        </w:rPr>
        <w:t>12,8</w:t>
      </w:r>
      <w:r w:rsidRPr="00092690">
        <w:rPr>
          <w:spacing w:val="-2"/>
          <w:lang w:val="vi-VN"/>
        </w:rPr>
        <w:t xml:space="preserve">%; đồ dùng, dụng cụ, trang thiết bị gia đình tăng </w:t>
      </w:r>
      <w:r w:rsidRPr="00092690">
        <w:rPr>
          <w:spacing w:val="-2"/>
        </w:rPr>
        <w:t>10,8</w:t>
      </w:r>
      <w:r w:rsidRPr="00092690">
        <w:rPr>
          <w:spacing w:val="-2"/>
          <w:lang w:val="vi-VN"/>
        </w:rPr>
        <w:t>%</w:t>
      </w:r>
      <w:r w:rsidRPr="00092690">
        <w:rPr>
          <w:spacing w:val="-2"/>
        </w:rPr>
        <w:t xml:space="preserve">; </w:t>
      </w:r>
      <w:r w:rsidRPr="00092690">
        <w:rPr>
          <w:spacing w:val="-2"/>
          <w:lang w:val="vi-VN"/>
        </w:rPr>
        <w:t xml:space="preserve">vật phẩm văn hoá, giáo dục </w:t>
      </w:r>
      <w:r w:rsidRPr="00092690">
        <w:rPr>
          <w:spacing w:val="-2"/>
        </w:rPr>
        <w:t>tăng</w:t>
      </w:r>
      <w:r w:rsidRPr="00092690">
        <w:rPr>
          <w:spacing w:val="-2"/>
          <w:lang w:val="vi-VN"/>
        </w:rPr>
        <w:t xml:space="preserve"> </w:t>
      </w:r>
      <w:r w:rsidRPr="00092690">
        <w:rPr>
          <w:spacing w:val="-2"/>
        </w:rPr>
        <w:t>9,0</w:t>
      </w:r>
      <w:r w:rsidRPr="00092690">
        <w:rPr>
          <w:spacing w:val="-2"/>
          <w:lang w:val="vi-VN"/>
        </w:rPr>
        <w:t>%</w:t>
      </w:r>
      <w:r w:rsidRPr="00092690">
        <w:rPr>
          <w:spacing w:val="-2"/>
        </w:rPr>
        <w:t xml:space="preserve">; </w:t>
      </w:r>
      <w:r w:rsidRPr="00092690">
        <w:rPr>
          <w:spacing w:val="-2"/>
          <w:lang w:val="vi-VN"/>
        </w:rPr>
        <w:t xml:space="preserve">phương tiện đi lại tăng </w:t>
      </w:r>
      <w:r w:rsidRPr="00092690">
        <w:rPr>
          <w:spacing w:val="-2"/>
        </w:rPr>
        <w:t>8,2</w:t>
      </w:r>
      <w:r w:rsidRPr="00092690">
        <w:rPr>
          <w:spacing w:val="-2"/>
          <w:lang w:val="vi-VN"/>
        </w:rPr>
        <w:t>%</w:t>
      </w:r>
      <w:r w:rsidRPr="00092690">
        <w:rPr>
          <w:spacing w:val="-2"/>
        </w:rPr>
        <w:t>. Một số địa phương có mức tăng khá: Thành phố Hồ Chí Minh tăng 12,8%; Hải Phòng tăng 12,6%; Đà Nẵng tăng 12%; Bình Định tăng 11%; Nam Định tăng 10,9%; Hà Nội tăng 10,4%.</w:t>
      </w:r>
    </w:p>
    <w:p w:rsidR="007D0E02" w:rsidRPr="00190D72" w:rsidRDefault="007D0E02" w:rsidP="00952AE4">
      <w:pPr>
        <w:tabs>
          <w:tab w:val="left" w:pos="0"/>
        </w:tabs>
        <w:spacing w:before="40" w:after="40" w:line="290" w:lineRule="auto"/>
        <w:ind w:firstLine="567"/>
        <w:jc w:val="both"/>
        <w:rPr>
          <w:bCs/>
        </w:rPr>
      </w:pPr>
      <w:r w:rsidRPr="00190D72">
        <w:rPr>
          <w:lang w:val="vi-VN"/>
        </w:rPr>
        <w:t>Doanh thu d</w:t>
      </w:r>
      <w:r w:rsidRPr="00190D72">
        <w:rPr>
          <w:bCs/>
          <w:lang w:val="vi-VN"/>
        </w:rPr>
        <w:t xml:space="preserve">ịch vụ lưu trú, ăn uống </w:t>
      </w:r>
      <w:r w:rsidRPr="00190D72">
        <w:rPr>
          <w:bCs/>
        </w:rPr>
        <w:t>4</w:t>
      </w:r>
      <w:r w:rsidRPr="00190D72">
        <w:rPr>
          <w:bCs/>
          <w:lang w:val="vi-VN"/>
        </w:rPr>
        <w:t xml:space="preserve"> tháng </w:t>
      </w:r>
      <w:r w:rsidRPr="00190D72">
        <w:rPr>
          <w:bCs/>
        </w:rPr>
        <w:t xml:space="preserve">đầu năm </w:t>
      </w:r>
      <w:r w:rsidRPr="00190D72">
        <w:rPr>
          <w:bCs/>
          <w:lang w:val="vi-VN"/>
        </w:rPr>
        <w:t xml:space="preserve">ước tính đạt </w:t>
      </w:r>
      <w:r w:rsidRPr="00190D72">
        <w:rPr>
          <w:bCs/>
        </w:rPr>
        <w:t>172</w:t>
      </w:r>
      <w:r w:rsidRPr="00190D72">
        <w:rPr>
          <w:bCs/>
          <w:lang w:val="vi-VN"/>
        </w:rPr>
        <w:t xml:space="preserve"> nghìn tỷ đồng, chiếm 1</w:t>
      </w:r>
      <w:r w:rsidRPr="00190D72">
        <w:rPr>
          <w:bCs/>
        </w:rPr>
        <w:t>2</w:t>
      </w:r>
      <w:r w:rsidRPr="00190D72">
        <w:rPr>
          <w:bCs/>
          <w:lang w:val="vi-VN"/>
        </w:rPr>
        <w:t>,</w:t>
      </w:r>
      <w:r w:rsidRPr="00190D72">
        <w:rPr>
          <w:bCs/>
        </w:rPr>
        <w:t>3</w:t>
      </w:r>
      <w:r w:rsidRPr="00190D72">
        <w:rPr>
          <w:bCs/>
          <w:lang w:val="vi-VN"/>
        </w:rPr>
        <w:t xml:space="preserve">% tổng mức và tăng </w:t>
      </w:r>
      <w:r w:rsidRPr="00190D72">
        <w:rPr>
          <w:bCs/>
        </w:rPr>
        <w:t>9,4</w:t>
      </w:r>
      <w:r w:rsidRPr="00190D72">
        <w:rPr>
          <w:bCs/>
          <w:lang w:val="vi-VN"/>
        </w:rPr>
        <w:t>% so với cùng kỳ năm</w:t>
      </w:r>
      <w:r w:rsidRPr="00190D72">
        <w:rPr>
          <w:bCs/>
        </w:rPr>
        <w:t xml:space="preserve"> trước</w:t>
      </w:r>
      <w:r w:rsidRPr="00190D72">
        <w:rPr>
          <w:bCs/>
          <w:lang w:val="vi-VN"/>
        </w:rPr>
        <w:t xml:space="preserve">, trong đó doanh thu của </w:t>
      </w:r>
      <w:r w:rsidRPr="00190D72">
        <w:rPr>
          <w:bCs/>
        </w:rPr>
        <w:t>Thanh Hóa tăng 11,9%; Lào Cai tăng 11,4%; Quảng Nam tăng 9,2%; Hà Nội tăng 9,1%; thành phố Hồ Chí Minh tăng 6,9%.</w:t>
      </w:r>
    </w:p>
    <w:p w:rsidR="007D0E02" w:rsidRPr="00190D72" w:rsidRDefault="007D0E02" w:rsidP="00952AE4">
      <w:pPr>
        <w:tabs>
          <w:tab w:val="left" w:pos="0"/>
        </w:tabs>
        <w:spacing w:before="40" w:after="40" w:line="290" w:lineRule="auto"/>
        <w:ind w:firstLine="567"/>
        <w:jc w:val="both"/>
        <w:rPr>
          <w:bCs/>
        </w:rPr>
      </w:pPr>
      <w:r w:rsidRPr="00190D72">
        <w:rPr>
          <w:bCs/>
          <w:lang w:val="vi-VN"/>
        </w:rPr>
        <w:t xml:space="preserve">Doanh thu du lịch lữ hành </w:t>
      </w:r>
      <w:r w:rsidRPr="00190D72">
        <w:rPr>
          <w:bCs/>
        </w:rPr>
        <w:t>4</w:t>
      </w:r>
      <w:r w:rsidR="007A6F48" w:rsidRPr="00190D72">
        <w:rPr>
          <w:bCs/>
          <w:lang w:val="vi-VN"/>
        </w:rPr>
        <w:t xml:space="preserve"> tháng</w:t>
      </w:r>
      <w:r w:rsidRPr="00190D72">
        <w:rPr>
          <w:bCs/>
          <w:lang w:val="vi-VN"/>
        </w:rPr>
        <w:t xml:space="preserve"> ước tính đạt </w:t>
      </w:r>
      <w:r w:rsidRPr="00190D72">
        <w:rPr>
          <w:bCs/>
        </w:rPr>
        <w:t xml:space="preserve">12,9 </w:t>
      </w:r>
      <w:r w:rsidRPr="00190D72">
        <w:rPr>
          <w:bCs/>
          <w:lang w:val="vi-VN"/>
        </w:rPr>
        <w:t xml:space="preserve">nghìn tỷ đồng, chiếm </w:t>
      </w:r>
      <w:r w:rsidRPr="00190D72">
        <w:rPr>
          <w:bCs/>
        </w:rPr>
        <w:t>0,9</w:t>
      </w:r>
      <w:r w:rsidRPr="00190D72">
        <w:rPr>
          <w:bCs/>
          <w:lang w:val="vi-VN"/>
        </w:rPr>
        <w:t xml:space="preserve">% tổng mức và tăng </w:t>
      </w:r>
      <w:r w:rsidRPr="00190D72">
        <w:rPr>
          <w:bCs/>
        </w:rPr>
        <w:t>26,1</w:t>
      </w:r>
      <w:r w:rsidRPr="00190D72">
        <w:rPr>
          <w:bCs/>
          <w:lang w:val="vi-VN"/>
        </w:rPr>
        <w:t>% so với cùng kỳ năm trước</w:t>
      </w:r>
      <w:r w:rsidRPr="00190D72">
        <w:rPr>
          <w:lang w:val="nl-NL"/>
        </w:rPr>
        <w:t>,</w:t>
      </w:r>
      <w:r w:rsidRPr="00190D72">
        <w:rPr>
          <w:bCs/>
        </w:rPr>
        <w:t xml:space="preserve"> trong đó thành phố Hồ Chí Minh tăng 30,4%; Bình Định tăng 28,9%; Cà Mau tăng 27,8%; Hải Phòng tăng 23,4%; Hà Nội tăng 18,8%.</w:t>
      </w:r>
    </w:p>
    <w:p w:rsidR="00300597" w:rsidRPr="00190D72" w:rsidRDefault="007D0E02" w:rsidP="00952AE4">
      <w:pPr>
        <w:tabs>
          <w:tab w:val="num" w:pos="0"/>
        </w:tabs>
        <w:spacing w:before="40" w:after="40" w:line="290" w:lineRule="auto"/>
        <w:ind w:firstLine="567"/>
        <w:jc w:val="both"/>
        <w:rPr>
          <w:color w:val="000000"/>
        </w:rPr>
      </w:pPr>
      <w:r w:rsidRPr="00190D72">
        <w:rPr>
          <w:bCs/>
        </w:rPr>
        <w:t>Doanh thu dịch vụ khác 4 tháng ước tính đạt 154,3 nghìn tỷ đồng, chiếm 11% tổng mức và tăng 3,2% so với cùng kỳ năm 2017, trong đó doanh thu của một số địa phương như sau: Bình Dương tăng 7,2%; Bà Rịa - Vũng Tàu tăng 5,1%; Hà Nội và thành phố Hồ Chí Minh cùng tăng 3,6%.</w:t>
      </w:r>
    </w:p>
    <w:p w:rsidR="00C031A9" w:rsidRPr="00190D72" w:rsidRDefault="00C031A9" w:rsidP="00952AE4">
      <w:pPr>
        <w:tabs>
          <w:tab w:val="num" w:pos="0"/>
        </w:tabs>
        <w:spacing w:before="40" w:after="40" w:line="290" w:lineRule="auto"/>
        <w:ind w:firstLine="567"/>
        <w:jc w:val="both"/>
        <w:rPr>
          <w:rStyle w:val="Strong"/>
          <w:i/>
          <w:iCs/>
          <w:lang w:val="de-DE"/>
        </w:rPr>
      </w:pPr>
      <w:r w:rsidRPr="00190D72">
        <w:rPr>
          <w:rStyle w:val="Strong"/>
          <w:i/>
          <w:iCs/>
          <w:lang w:val="de-DE"/>
        </w:rPr>
        <w:t>b. Xuất, nhập khẩu hàng hóa</w:t>
      </w:r>
    </w:p>
    <w:p w:rsidR="008C63DB" w:rsidRPr="00190D72" w:rsidRDefault="008C63DB" w:rsidP="00952AE4">
      <w:pPr>
        <w:tabs>
          <w:tab w:val="left" w:pos="900"/>
        </w:tabs>
        <w:spacing w:before="40" w:after="40" w:line="290" w:lineRule="auto"/>
        <w:ind w:firstLine="562"/>
        <w:jc w:val="both"/>
      </w:pPr>
      <w:r w:rsidRPr="00190D72">
        <w:rPr>
          <w:lang w:val="vi-VN"/>
        </w:rPr>
        <w:t xml:space="preserve">Kim ngạch hàng hóa xuất khẩu thực hiện </w:t>
      </w:r>
      <w:r w:rsidRPr="00190D72">
        <w:t>tháng 3/</w:t>
      </w:r>
      <w:r w:rsidRPr="00190D72">
        <w:rPr>
          <w:lang w:val="vi-VN"/>
        </w:rPr>
        <w:t>201</w:t>
      </w:r>
      <w:r w:rsidRPr="00190D72">
        <w:t>8</w:t>
      </w:r>
      <w:r w:rsidRPr="00190D72">
        <w:rPr>
          <w:lang w:val="vi-VN"/>
        </w:rPr>
        <w:t xml:space="preserve"> đạt </w:t>
      </w:r>
      <w:r w:rsidRPr="00190D72">
        <w:t>21</w:t>
      </w:r>
      <w:r w:rsidRPr="00190D72">
        <w:rPr>
          <w:lang w:val="en-GB"/>
        </w:rPr>
        <w:t>.133</w:t>
      </w:r>
      <w:r w:rsidRPr="00190D72">
        <w:t xml:space="preserve"> </w:t>
      </w:r>
      <w:r w:rsidRPr="00190D72">
        <w:rPr>
          <w:lang w:val="vi-VN"/>
        </w:rPr>
        <w:t>triệu</w:t>
      </w:r>
      <w:r w:rsidRPr="00190D72">
        <w:t xml:space="preserve"> USD</w:t>
      </w:r>
      <w:r w:rsidR="007033FA" w:rsidRPr="00190D72">
        <w:t>, là tháng có kim ngạch xuất khẩu cao nhất từ</w:t>
      </w:r>
      <w:r w:rsidR="008C134B" w:rsidRPr="00190D72">
        <w:t xml:space="preserve"> trước đến nay. </w:t>
      </w:r>
      <w:r w:rsidR="007033FA" w:rsidRPr="00190D72">
        <w:t>S</w:t>
      </w:r>
      <w:r w:rsidRPr="00190D72">
        <w:rPr>
          <w:lang w:val="vi-VN"/>
        </w:rPr>
        <w:t>o với số ước tính,</w:t>
      </w:r>
      <w:r w:rsidR="007033FA" w:rsidRPr="00190D72">
        <w:t xml:space="preserve"> kim ngạch hàng hóa xuất khẩu tháng 3/2018 cao</w:t>
      </w:r>
      <w:r w:rsidR="007033FA" w:rsidRPr="00190D72">
        <w:rPr>
          <w:lang w:val="vi-VN"/>
        </w:rPr>
        <w:t xml:space="preserve"> hơn </w:t>
      </w:r>
      <w:r w:rsidR="007033FA" w:rsidRPr="00190D72">
        <w:t>1.333</w:t>
      </w:r>
      <w:r w:rsidR="007033FA" w:rsidRPr="00190D72">
        <w:rPr>
          <w:lang w:val="vi-VN"/>
        </w:rPr>
        <w:t xml:space="preserve"> triệu USD</w:t>
      </w:r>
      <w:r w:rsidR="007033FA" w:rsidRPr="00190D72">
        <w:t>,</w:t>
      </w:r>
      <w:r w:rsidRPr="00190D72">
        <w:rPr>
          <w:lang w:val="vi-VN"/>
        </w:rPr>
        <w:t xml:space="preserve"> trong đó </w:t>
      </w:r>
      <w:r w:rsidRPr="00190D72">
        <w:t>điện thoại và linh kiện cao hơn 268 triệu USD; máy móc, thiết bị, dụng cụ phụ tùng khác cao hơn 186 triệu USD</w:t>
      </w:r>
      <w:r w:rsidRPr="00190D72">
        <w:rPr>
          <w:lang w:val="vi-VN"/>
        </w:rPr>
        <w:t>; hàng dệt may cao hơn 1</w:t>
      </w:r>
      <w:r w:rsidRPr="00190D72">
        <w:t>19</w:t>
      </w:r>
      <w:r w:rsidRPr="00190D72">
        <w:rPr>
          <w:lang w:val="vi-VN"/>
        </w:rPr>
        <w:t xml:space="preserve"> triệu USD; thủy sản </w:t>
      </w:r>
      <w:r w:rsidRPr="00190D72">
        <w:t>cao</w:t>
      </w:r>
      <w:r w:rsidRPr="00190D72">
        <w:rPr>
          <w:lang w:val="vi-VN"/>
        </w:rPr>
        <w:t xml:space="preserve"> hơn </w:t>
      </w:r>
      <w:r w:rsidRPr="00190D72">
        <w:t>102</w:t>
      </w:r>
      <w:r w:rsidRPr="00190D72">
        <w:rPr>
          <w:lang w:val="vi-VN"/>
        </w:rPr>
        <w:t xml:space="preserve"> triệu USD; </w:t>
      </w:r>
      <w:r w:rsidRPr="00190D72">
        <w:t>sắt thép cao hơn 96 triệu USD;</w:t>
      </w:r>
      <w:r w:rsidRPr="00190D72">
        <w:rPr>
          <w:lang w:val="vi-VN"/>
        </w:rPr>
        <w:t xml:space="preserve"> </w:t>
      </w:r>
      <w:r w:rsidRPr="00190D72">
        <w:t xml:space="preserve">gạo cao hơn 78 triệu USD; </w:t>
      </w:r>
      <w:r w:rsidRPr="00190D72">
        <w:rPr>
          <w:lang w:val="vi-VN"/>
        </w:rPr>
        <w:t xml:space="preserve">điện tử, máy tính và linh kiện </w:t>
      </w:r>
      <w:r w:rsidRPr="00190D72">
        <w:t>cao</w:t>
      </w:r>
      <w:r w:rsidRPr="00190D72">
        <w:rPr>
          <w:lang w:val="vi-VN"/>
        </w:rPr>
        <w:t xml:space="preserve"> hơn </w:t>
      </w:r>
      <w:r w:rsidRPr="00190D72">
        <w:t>51</w:t>
      </w:r>
      <w:r w:rsidRPr="00190D72">
        <w:rPr>
          <w:lang w:val="vi-VN"/>
        </w:rPr>
        <w:t xml:space="preserve"> triệu USD; </w:t>
      </w:r>
      <w:r w:rsidRPr="00190D72">
        <w:t xml:space="preserve">hạt điều cao hơn 46 triệu USD; cà phê cao hơn 40 triệu USD; hạt tiêu cao hơn 33 triệu USD; gỗ và sản phẩm gỗ cao hơn 25 triệu USD; dầu thô cao hơn 23 triệu USD; rau quả cao hơn 22 triệu USD; sản phẩm từ chất dẻo cao hơn 21 triệu USD; cao su thấp hơn 22 triệu USD; xăng dầu thấp hơn 26 triệu USD; </w:t>
      </w:r>
      <w:r w:rsidRPr="00190D72">
        <w:rPr>
          <w:lang w:val="vi-VN"/>
        </w:rPr>
        <w:t xml:space="preserve">phương tiện vận tải và phụ tùng </w:t>
      </w:r>
      <w:r w:rsidRPr="00190D72">
        <w:t>thấp</w:t>
      </w:r>
      <w:r w:rsidRPr="00190D72">
        <w:rPr>
          <w:lang w:val="vi-VN"/>
        </w:rPr>
        <w:t xml:space="preserve"> hơn </w:t>
      </w:r>
      <w:r w:rsidRPr="00190D72">
        <w:t>29</w:t>
      </w:r>
      <w:r w:rsidRPr="00190D72">
        <w:rPr>
          <w:lang w:val="vi-VN"/>
        </w:rPr>
        <w:t xml:space="preserve"> triệu USD.</w:t>
      </w:r>
    </w:p>
    <w:p w:rsidR="008C63DB" w:rsidRPr="00190D72" w:rsidRDefault="008C63DB" w:rsidP="00190D72">
      <w:pPr>
        <w:spacing w:before="40" w:after="40" w:line="288" w:lineRule="auto"/>
        <w:ind w:firstLine="562"/>
        <w:jc w:val="both"/>
        <w:rPr>
          <w:lang w:val="vi-VN"/>
        </w:rPr>
      </w:pPr>
      <w:r w:rsidRPr="00190D72">
        <w:rPr>
          <w:bCs/>
          <w:lang w:val="vi-VN"/>
        </w:rPr>
        <w:t xml:space="preserve">Kim ngạch hàng hóa xuất khẩu tháng </w:t>
      </w:r>
      <w:r w:rsidRPr="00190D72">
        <w:rPr>
          <w:bCs/>
        </w:rPr>
        <w:t>Tư</w:t>
      </w:r>
      <w:r w:rsidRPr="00190D72">
        <w:rPr>
          <w:bCs/>
          <w:lang w:val="vi-VN"/>
        </w:rPr>
        <w:t xml:space="preserve"> năm nay ước tính đạt 1</w:t>
      </w:r>
      <w:r w:rsidRPr="00190D72">
        <w:rPr>
          <w:bCs/>
        </w:rPr>
        <w:t>8</w:t>
      </w:r>
      <w:r w:rsidRPr="00190D72">
        <w:rPr>
          <w:bCs/>
          <w:lang w:val="en-GB"/>
        </w:rPr>
        <w:t>,20</w:t>
      </w:r>
      <w:r w:rsidRPr="00190D72">
        <w:rPr>
          <w:bCs/>
          <w:lang w:val="vi-VN"/>
        </w:rPr>
        <w:t xml:space="preserve"> tỷ USD, giảm</w:t>
      </w:r>
      <w:r w:rsidR="00D062AF" w:rsidRPr="00190D72">
        <w:rPr>
          <w:bCs/>
        </w:rPr>
        <w:t xml:space="preserve"> mạnh</w:t>
      </w:r>
      <w:r w:rsidRPr="00190D72">
        <w:rPr>
          <w:bCs/>
          <w:lang w:val="vi-VN"/>
        </w:rPr>
        <w:t xml:space="preserve"> </w:t>
      </w:r>
      <w:r w:rsidRPr="00190D72">
        <w:rPr>
          <w:bCs/>
        </w:rPr>
        <w:t>13</w:t>
      </w:r>
      <w:r w:rsidRPr="00190D72">
        <w:rPr>
          <w:bCs/>
          <w:lang w:val="vi-VN"/>
        </w:rPr>
        <w:t>,</w:t>
      </w:r>
      <w:r w:rsidRPr="00190D72">
        <w:rPr>
          <w:bCs/>
        </w:rPr>
        <w:t>9</w:t>
      </w:r>
      <w:r w:rsidRPr="00190D72">
        <w:rPr>
          <w:bCs/>
          <w:lang w:val="vi-VN"/>
        </w:rPr>
        <w:t>% so với tháng trước</w:t>
      </w:r>
      <w:r w:rsidR="00AA135C" w:rsidRPr="00190D72">
        <w:rPr>
          <w:bCs/>
        </w:rPr>
        <w:t xml:space="preserve"> chủ yếu</w:t>
      </w:r>
      <w:r w:rsidR="00D062AF" w:rsidRPr="00190D72">
        <w:rPr>
          <w:bCs/>
        </w:rPr>
        <w:t xml:space="preserve"> do số ngày làm việc trong tháng ít hơn 3 ngày so với tháng trước</w:t>
      </w:r>
      <w:r w:rsidR="00AA135C" w:rsidRPr="00190D72">
        <w:rPr>
          <w:bCs/>
        </w:rPr>
        <w:t xml:space="preserve"> và các sản phẩm Galaxy S9, S9</w:t>
      </w:r>
      <w:r w:rsidR="00AA135C" w:rsidRPr="00190D72">
        <w:rPr>
          <w:bCs/>
          <w:vertAlign w:val="superscript"/>
        </w:rPr>
        <w:t>+</w:t>
      </w:r>
      <w:r w:rsidR="00AA135C" w:rsidRPr="00190D72">
        <w:rPr>
          <w:bCs/>
        </w:rPr>
        <w:t xml:space="preserve"> được Samsung tập trung xuất khẩu trong tháng Ba</w:t>
      </w:r>
      <w:r w:rsidR="00D062AF" w:rsidRPr="00190D72">
        <w:rPr>
          <w:bCs/>
        </w:rPr>
        <w:t>.</w:t>
      </w:r>
      <w:r w:rsidRPr="00190D72">
        <w:rPr>
          <w:bCs/>
          <w:lang w:val="vi-VN"/>
        </w:rPr>
        <w:t xml:space="preserve"> </w:t>
      </w:r>
      <w:r w:rsidR="00D062AF" w:rsidRPr="00190D72">
        <w:rPr>
          <w:bCs/>
        </w:rPr>
        <w:t>T</w:t>
      </w:r>
      <w:r w:rsidRPr="00190D72">
        <w:rPr>
          <w:bCs/>
          <w:lang w:val="vi-VN"/>
        </w:rPr>
        <w:t xml:space="preserve">rong </w:t>
      </w:r>
      <w:r w:rsidR="00AA135C" w:rsidRPr="00190D72">
        <w:rPr>
          <w:bCs/>
        </w:rPr>
        <w:t>kim ngạch hàng hóa xuất khẩu tháng 4/2018</w:t>
      </w:r>
      <w:r w:rsidR="00D062AF" w:rsidRPr="00190D72">
        <w:rPr>
          <w:bCs/>
        </w:rPr>
        <w:t>,</w:t>
      </w:r>
      <w:r w:rsidRPr="00190D72">
        <w:rPr>
          <w:bCs/>
          <w:lang w:val="vi-VN"/>
        </w:rPr>
        <w:t xml:space="preserve"> khu vực kinh tế trong nước đạt </w:t>
      </w:r>
      <w:r w:rsidR="00183269">
        <w:rPr>
          <w:bCs/>
        </w:rPr>
        <w:t>5,0</w:t>
      </w:r>
      <w:r w:rsidRPr="00190D72">
        <w:rPr>
          <w:bCs/>
          <w:lang w:val="vi-VN"/>
        </w:rPr>
        <w:t xml:space="preserve"> tỷ USD, giảm </w:t>
      </w:r>
      <w:r w:rsidRPr="00190D72">
        <w:rPr>
          <w:bCs/>
        </w:rPr>
        <w:t>12</w:t>
      </w:r>
      <w:r w:rsidRPr="00190D72">
        <w:rPr>
          <w:bCs/>
          <w:lang w:val="vi-VN"/>
        </w:rPr>
        <w:t>,</w:t>
      </w:r>
      <w:r w:rsidRPr="00190D72">
        <w:rPr>
          <w:bCs/>
        </w:rPr>
        <w:t>5</w:t>
      </w:r>
      <w:r w:rsidRPr="00190D72">
        <w:rPr>
          <w:bCs/>
          <w:lang w:val="vi-VN"/>
        </w:rPr>
        <w:t>%</w:t>
      </w:r>
      <w:r w:rsidR="008C134B" w:rsidRPr="00190D72">
        <w:rPr>
          <w:bCs/>
        </w:rPr>
        <w:t xml:space="preserve"> so </w:t>
      </w:r>
      <w:r w:rsidR="008C134B" w:rsidRPr="00190D72">
        <w:rPr>
          <w:bCs/>
        </w:rPr>
        <w:lastRenderedPageBreak/>
        <w:t>với tháng trước</w:t>
      </w:r>
      <w:r w:rsidRPr="00190D72">
        <w:rPr>
          <w:bCs/>
          <w:lang w:val="vi-VN"/>
        </w:rPr>
        <w:t xml:space="preserve">; khu vực có vốn đầu tư nước ngoài (kể cả dầu thô) đạt </w:t>
      </w:r>
      <w:r w:rsidRPr="00190D72">
        <w:rPr>
          <w:bCs/>
        </w:rPr>
        <w:t>13</w:t>
      </w:r>
      <w:r w:rsidRPr="00190D72">
        <w:rPr>
          <w:bCs/>
          <w:lang w:val="vi-VN"/>
        </w:rPr>
        <w:t>,</w:t>
      </w:r>
      <w:r w:rsidRPr="00190D72">
        <w:rPr>
          <w:bCs/>
        </w:rPr>
        <w:t>20</w:t>
      </w:r>
      <w:r w:rsidRPr="00190D72">
        <w:rPr>
          <w:bCs/>
          <w:lang w:val="vi-VN"/>
        </w:rPr>
        <w:t xml:space="preserve"> tỷ USD, giảm </w:t>
      </w:r>
      <w:r w:rsidRPr="00190D72">
        <w:rPr>
          <w:bCs/>
        </w:rPr>
        <w:t>14</w:t>
      </w:r>
      <w:r w:rsidRPr="00190D72">
        <w:rPr>
          <w:bCs/>
          <w:lang w:val="vi-VN"/>
        </w:rPr>
        <w:t>,</w:t>
      </w:r>
      <w:r w:rsidRPr="00190D72">
        <w:rPr>
          <w:bCs/>
        </w:rPr>
        <w:t>4</w:t>
      </w:r>
      <w:r w:rsidRPr="00190D72">
        <w:rPr>
          <w:bCs/>
          <w:lang w:val="vi-VN"/>
        </w:rPr>
        <w:t xml:space="preserve">%. </w:t>
      </w:r>
      <w:r w:rsidR="00AA135C" w:rsidRPr="00190D72">
        <w:rPr>
          <w:bCs/>
        </w:rPr>
        <w:t>Hầu hết các mặt hàng xuất khẩu trong tháng 4 đều có kim ngạch giảm so với tháng trước, trong đó</w:t>
      </w:r>
      <w:r w:rsidR="007654EA" w:rsidRPr="00190D72">
        <w:rPr>
          <w:bCs/>
        </w:rPr>
        <w:t xml:space="preserve"> một số mặt hàng</w:t>
      </w:r>
      <w:r w:rsidR="00AA135C" w:rsidRPr="00190D72">
        <w:rPr>
          <w:bCs/>
        </w:rPr>
        <w:t xml:space="preserve"> giảm mạnh: </w:t>
      </w:r>
      <w:r w:rsidR="008501CC">
        <w:rPr>
          <w:bCs/>
        </w:rPr>
        <w:t>S</w:t>
      </w:r>
      <w:r w:rsidR="007654EA" w:rsidRPr="00190D72">
        <w:rPr>
          <w:bCs/>
        </w:rPr>
        <w:t>ắt thép giảm 32,1%; điện thoại và linh kiện giảm 24,1%; điện tử, máy tính và linh kiện giảm 11,1%; máy móc thiết bị, dụng cụ phụ tùng giảm 12,5%</w:t>
      </w:r>
      <w:r w:rsidRPr="00190D72">
        <w:rPr>
          <w:bCs/>
          <w:lang w:val="vi-VN"/>
        </w:rPr>
        <w:t xml:space="preserve">. So với cùng kỳ năm trước, kim ngạch hàng hóa xuất khẩu tháng </w:t>
      </w:r>
      <w:r w:rsidRPr="00190D72">
        <w:rPr>
          <w:bCs/>
        </w:rPr>
        <w:t>Tư</w:t>
      </w:r>
      <w:r w:rsidRPr="00190D72">
        <w:rPr>
          <w:bCs/>
          <w:lang w:val="vi-VN"/>
        </w:rPr>
        <w:t xml:space="preserve"> năm nay tăng </w:t>
      </w:r>
      <w:r w:rsidRPr="00190D72">
        <w:rPr>
          <w:bCs/>
        </w:rPr>
        <w:t>4</w:t>
      </w:r>
      <w:r w:rsidRPr="00190D72">
        <w:t xml:space="preserve">,1%, trong đó khu vực kinh tế trong nước tăng 8,4%, khu vực có vốn đầu tư nước ngoài (kể cả </w:t>
      </w:r>
      <w:r w:rsidR="00BE4E3E" w:rsidRPr="00190D72">
        <w:t>d</w:t>
      </w:r>
      <w:r w:rsidRPr="00190D72">
        <w:t xml:space="preserve">ầu thô) tăng 2,5%. </w:t>
      </w:r>
      <w:r w:rsidR="00247313" w:rsidRPr="00190D72">
        <w:t>M</w:t>
      </w:r>
      <w:r w:rsidRPr="00190D72">
        <w:t>ột số mặt hàng</w:t>
      </w:r>
      <w:r w:rsidR="00247313" w:rsidRPr="00190D72">
        <w:t xml:space="preserve"> có kim ngạch xuất khẩu tăng so với cùng kỳ năm trước: </w:t>
      </w:r>
      <w:r w:rsidRPr="00190D72">
        <w:rPr>
          <w:rStyle w:val="Strong"/>
          <w:b w:val="0"/>
        </w:rPr>
        <w:t>Máy móc thiết bị</w:t>
      </w:r>
      <w:r w:rsidR="00247313" w:rsidRPr="00190D72">
        <w:rPr>
          <w:rStyle w:val="Strong"/>
          <w:b w:val="0"/>
        </w:rPr>
        <w:t>,</w:t>
      </w:r>
      <w:r w:rsidRPr="00190D72">
        <w:rPr>
          <w:rStyle w:val="Strong"/>
          <w:b w:val="0"/>
        </w:rPr>
        <w:t xml:space="preserve"> dụng cụ phụ tùng tăng 32,2%, hàng dệt may</w:t>
      </w:r>
      <w:r w:rsidR="00247313" w:rsidRPr="00190D72">
        <w:rPr>
          <w:rStyle w:val="Strong"/>
          <w:b w:val="0"/>
        </w:rPr>
        <w:t xml:space="preserve"> tăng</w:t>
      </w:r>
      <w:r w:rsidRPr="00190D72">
        <w:rPr>
          <w:rStyle w:val="Strong"/>
          <w:b w:val="0"/>
        </w:rPr>
        <w:t xml:space="preserve"> 18,4%, phương tiện vận tải và phụ tùng</w:t>
      </w:r>
      <w:r w:rsidR="00247313" w:rsidRPr="00190D72">
        <w:rPr>
          <w:rStyle w:val="Strong"/>
          <w:b w:val="0"/>
        </w:rPr>
        <w:t xml:space="preserve"> tăng</w:t>
      </w:r>
      <w:r w:rsidRPr="00190D72">
        <w:rPr>
          <w:rStyle w:val="Strong"/>
          <w:b w:val="0"/>
        </w:rPr>
        <w:t xml:space="preserve"> 17,9%.</w:t>
      </w:r>
    </w:p>
    <w:p w:rsidR="008C63DB" w:rsidRPr="00190D72" w:rsidRDefault="008C63DB" w:rsidP="00952AE4">
      <w:pPr>
        <w:spacing w:before="40" w:after="40" w:line="295" w:lineRule="auto"/>
        <w:ind w:firstLine="561"/>
        <w:jc w:val="both"/>
        <w:rPr>
          <w:lang w:val="vi-VN"/>
        </w:rPr>
      </w:pPr>
      <w:r w:rsidRPr="00190D72">
        <w:rPr>
          <w:bCs/>
          <w:lang w:val="vi-VN"/>
        </w:rPr>
        <w:t xml:space="preserve">Tính chung </w:t>
      </w:r>
      <w:r w:rsidRPr="00190D72">
        <w:rPr>
          <w:bCs/>
        </w:rPr>
        <w:t>4</w:t>
      </w:r>
      <w:r w:rsidRPr="00190D72">
        <w:rPr>
          <w:bCs/>
          <w:lang w:val="vi-VN"/>
        </w:rPr>
        <w:t xml:space="preserve"> tháng đầu năm, kim ngạch hàng hóa xuất khẩu ước tính đạt </w:t>
      </w:r>
      <w:r w:rsidRPr="00190D72">
        <w:rPr>
          <w:bCs/>
        </w:rPr>
        <w:t>73</w:t>
      </w:r>
      <w:r w:rsidRPr="00190D72">
        <w:rPr>
          <w:bCs/>
          <w:lang w:val="vi-VN"/>
        </w:rPr>
        <w:t>,</w:t>
      </w:r>
      <w:r w:rsidRPr="00190D72">
        <w:rPr>
          <w:bCs/>
        </w:rPr>
        <w:t>76</w:t>
      </w:r>
      <w:r w:rsidRPr="00190D72">
        <w:rPr>
          <w:bCs/>
          <w:lang w:val="vi-VN"/>
        </w:rPr>
        <w:t xml:space="preserve"> tỷ USD, tăng </w:t>
      </w:r>
      <w:r w:rsidRPr="00190D72">
        <w:rPr>
          <w:bCs/>
        </w:rPr>
        <w:t>19</w:t>
      </w:r>
      <w:r w:rsidRPr="00190D72">
        <w:rPr>
          <w:bCs/>
          <w:lang w:val="vi-VN"/>
        </w:rPr>
        <w:t>% so với cùng kỳ năm 201</w:t>
      </w:r>
      <w:r w:rsidRPr="00190D72">
        <w:rPr>
          <w:bCs/>
        </w:rPr>
        <w:t>7</w:t>
      </w:r>
      <w:r w:rsidRPr="00190D72">
        <w:rPr>
          <w:bCs/>
          <w:lang w:val="vi-VN"/>
        </w:rPr>
        <w:t xml:space="preserve">, trong đó khu vực kinh tế trong nước đạt </w:t>
      </w:r>
      <w:r w:rsidRPr="00190D72">
        <w:rPr>
          <w:bCs/>
        </w:rPr>
        <w:t>20</w:t>
      </w:r>
      <w:r w:rsidRPr="00190D72">
        <w:rPr>
          <w:bCs/>
          <w:lang w:val="vi-VN"/>
        </w:rPr>
        <w:t>,</w:t>
      </w:r>
      <w:r w:rsidRPr="00190D72">
        <w:rPr>
          <w:bCs/>
        </w:rPr>
        <w:t>28</w:t>
      </w:r>
      <w:r w:rsidRPr="00190D72">
        <w:rPr>
          <w:bCs/>
          <w:lang w:val="vi-VN"/>
        </w:rPr>
        <w:t xml:space="preserve"> tỷ USD, tăng </w:t>
      </w:r>
      <w:r w:rsidRPr="00190D72">
        <w:rPr>
          <w:bCs/>
        </w:rPr>
        <w:t>17</w:t>
      </w:r>
      <w:r w:rsidRPr="00190D72">
        <w:rPr>
          <w:bCs/>
          <w:lang w:val="vi-VN"/>
        </w:rPr>
        <w:t>,</w:t>
      </w:r>
      <w:r w:rsidRPr="00190D72">
        <w:rPr>
          <w:bCs/>
        </w:rPr>
        <w:t>9</w:t>
      </w:r>
      <w:r w:rsidRPr="00190D72">
        <w:rPr>
          <w:bCs/>
          <w:lang w:val="vi-VN"/>
        </w:rPr>
        <w:t>%; khu vực có vốn đầu tư nước ngoài (kể cả dầu thô)</w:t>
      </w:r>
      <w:r w:rsidR="00EC66FE" w:rsidRPr="00190D72">
        <w:rPr>
          <w:bCs/>
        </w:rPr>
        <w:t xml:space="preserve"> chiếm tới 72,5% tổng kim ngạch xuất khẩu </w:t>
      </w:r>
      <w:r w:rsidRPr="00190D72">
        <w:rPr>
          <w:bCs/>
          <w:lang w:val="vi-VN"/>
        </w:rPr>
        <w:t xml:space="preserve">đạt </w:t>
      </w:r>
      <w:r w:rsidRPr="00190D72">
        <w:rPr>
          <w:bCs/>
        </w:rPr>
        <w:t>53</w:t>
      </w:r>
      <w:r w:rsidRPr="00190D72">
        <w:rPr>
          <w:bCs/>
          <w:lang w:val="vi-VN"/>
        </w:rPr>
        <w:t>,</w:t>
      </w:r>
      <w:r w:rsidRPr="00190D72">
        <w:rPr>
          <w:bCs/>
        </w:rPr>
        <w:t>48</w:t>
      </w:r>
      <w:r w:rsidRPr="00190D72">
        <w:rPr>
          <w:bCs/>
          <w:lang w:val="vi-VN"/>
        </w:rPr>
        <w:t xml:space="preserve"> tỷ USD, tăng </w:t>
      </w:r>
      <w:r w:rsidRPr="00190D72">
        <w:rPr>
          <w:bCs/>
        </w:rPr>
        <w:t>19</w:t>
      </w:r>
      <w:r w:rsidRPr="00190D72">
        <w:rPr>
          <w:bCs/>
          <w:lang w:val="vi-VN"/>
        </w:rPr>
        <w:t>,</w:t>
      </w:r>
      <w:r w:rsidRPr="00190D72">
        <w:rPr>
          <w:bCs/>
        </w:rPr>
        <w:t>4</w:t>
      </w:r>
      <w:r w:rsidRPr="00190D72">
        <w:rPr>
          <w:bCs/>
          <w:lang w:val="vi-VN"/>
        </w:rPr>
        <w:t>%. Kim ngạch xuất khẩu một số mặt hàng chủ lực</w:t>
      </w:r>
      <w:r w:rsidR="00EC66FE" w:rsidRPr="00190D72">
        <w:rPr>
          <w:bCs/>
        </w:rPr>
        <w:t xml:space="preserve"> tiếp tục</w:t>
      </w:r>
      <w:r w:rsidRPr="00190D72">
        <w:rPr>
          <w:bCs/>
          <w:lang w:val="vi-VN"/>
        </w:rPr>
        <w:t xml:space="preserve"> tăng</w:t>
      </w:r>
      <w:r w:rsidR="00EC66FE" w:rsidRPr="00190D72">
        <w:rPr>
          <w:bCs/>
        </w:rPr>
        <w:t xml:space="preserve"> khá</w:t>
      </w:r>
      <w:r w:rsidRPr="00190D72">
        <w:t xml:space="preserve"> so với cùng kỳ năm </w:t>
      </w:r>
      <w:r w:rsidRPr="00190D72">
        <w:rPr>
          <w:lang w:val="vi-VN"/>
        </w:rPr>
        <w:t>trước</w:t>
      </w:r>
      <w:r w:rsidRPr="00190D72">
        <w:t>:</w:t>
      </w:r>
      <w:r w:rsidRPr="00190D72">
        <w:rPr>
          <w:lang w:val="vi-VN"/>
        </w:rPr>
        <w:t xml:space="preserve"> Điện thoại và linh kiện đạt </w:t>
      </w:r>
      <w:r w:rsidRPr="00190D72">
        <w:t>16</w:t>
      </w:r>
      <w:r w:rsidRPr="00190D72">
        <w:rPr>
          <w:lang w:val="vi-VN"/>
        </w:rPr>
        <w:t>,</w:t>
      </w:r>
      <w:r w:rsidRPr="00190D72">
        <w:t>6</w:t>
      </w:r>
      <w:r w:rsidRPr="00190D72">
        <w:rPr>
          <w:lang w:val="vi-VN"/>
        </w:rPr>
        <w:t xml:space="preserve"> tỷ USD, tăng </w:t>
      </w:r>
      <w:r w:rsidRPr="00190D72">
        <w:t>36</w:t>
      </w:r>
      <w:r w:rsidRPr="00190D72">
        <w:rPr>
          <w:lang w:val="vi-VN"/>
        </w:rPr>
        <w:t>,</w:t>
      </w:r>
      <w:r w:rsidRPr="00190D72">
        <w:t>8</w:t>
      </w:r>
      <w:r w:rsidRPr="00190D72">
        <w:rPr>
          <w:lang w:val="vi-VN"/>
        </w:rPr>
        <w:t xml:space="preserve">%; hàng dệt may đạt </w:t>
      </w:r>
      <w:r w:rsidRPr="00190D72">
        <w:t>8</w:t>
      </w:r>
      <w:r w:rsidRPr="00190D72">
        <w:rPr>
          <w:lang w:val="vi-VN"/>
        </w:rPr>
        <w:t>,</w:t>
      </w:r>
      <w:r w:rsidRPr="00190D72">
        <w:t>6</w:t>
      </w:r>
      <w:r w:rsidRPr="00190D72">
        <w:rPr>
          <w:lang w:val="vi-VN"/>
        </w:rPr>
        <w:t xml:space="preserve"> tỷ USD, tăng </w:t>
      </w:r>
      <w:r w:rsidRPr="00190D72">
        <w:t>15</w:t>
      </w:r>
      <w:r w:rsidRPr="00190D72">
        <w:rPr>
          <w:lang w:val="vi-VN"/>
        </w:rPr>
        <w:t>,</w:t>
      </w:r>
      <w:r w:rsidRPr="00190D72">
        <w:t>7</w:t>
      </w:r>
      <w:r w:rsidRPr="00190D72">
        <w:rPr>
          <w:lang w:val="vi-VN"/>
        </w:rPr>
        <w:t xml:space="preserve">%; điện tử, máy tính và linh kiện đạt </w:t>
      </w:r>
      <w:r w:rsidRPr="00190D72">
        <w:t>8,3</w:t>
      </w:r>
      <w:r w:rsidRPr="00190D72">
        <w:rPr>
          <w:lang w:val="vi-VN"/>
        </w:rPr>
        <w:t xml:space="preserve"> tỷ USD, tăng </w:t>
      </w:r>
      <w:r w:rsidRPr="00190D72">
        <w:t>10</w:t>
      </w:r>
      <w:r w:rsidRPr="00190D72">
        <w:rPr>
          <w:lang w:val="vi-VN"/>
        </w:rPr>
        <w:t>,</w:t>
      </w:r>
      <w:r w:rsidRPr="00190D72">
        <w:t>8</w:t>
      </w:r>
      <w:r w:rsidRPr="00190D72">
        <w:rPr>
          <w:lang w:val="vi-VN"/>
        </w:rPr>
        <w:t xml:space="preserve">%; máy móc thiết bị, dụng cụ phụ tùng đạt </w:t>
      </w:r>
      <w:r w:rsidRPr="00190D72">
        <w:t>5</w:t>
      </w:r>
      <w:r w:rsidRPr="00190D72">
        <w:rPr>
          <w:lang w:val="vi-VN"/>
        </w:rPr>
        <w:t xml:space="preserve"> tỷ USD, tăng </w:t>
      </w:r>
      <w:r w:rsidRPr="00190D72">
        <w:t>2</w:t>
      </w:r>
      <w:r w:rsidRPr="00190D72">
        <w:rPr>
          <w:lang w:val="vi-VN"/>
        </w:rPr>
        <w:t>9,</w:t>
      </w:r>
      <w:r w:rsidRPr="00190D72">
        <w:t>6</w:t>
      </w:r>
      <w:r w:rsidRPr="00190D72">
        <w:rPr>
          <w:lang w:val="vi-VN"/>
        </w:rPr>
        <w:t xml:space="preserve">%; giày dép đạt </w:t>
      </w:r>
      <w:r w:rsidRPr="00190D72">
        <w:t>4</w:t>
      </w:r>
      <w:r w:rsidRPr="00190D72">
        <w:rPr>
          <w:lang w:val="vi-VN"/>
        </w:rPr>
        <w:t>,</w:t>
      </w:r>
      <w:r w:rsidRPr="00190D72">
        <w:t>5</w:t>
      </w:r>
      <w:r w:rsidRPr="00190D72">
        <w:rPr>
          <w:lang w:val="vi-VN"/>
        </w:rPr>
        <w:t xml:space="preserve"> tỷ USD, tăng </w:t>
      </w:r>
      <w:r w:rsidRPr="00190D72">
        <w:t>6,4</w:t>
      </w:r>
      <w:r w:rsidRPr="00190D72">
        <w:rPr>
          <w:lang w:val="vi-VN"/>
        </w:rPr>
        <w:t xml:space="preserve">%; phương tiện vận tải và phụ tùng đạt </w:t>
      </w:r>
      <w:r w:rsidRPr="00190D72">
        <w:t>2</w:t>
      </w:r>
      <w:r w:rsidRPr="00190D72">
        <w:rPr>
          <w:lang w:val="vi-VN"/>
        </w:rPr>
        <w:t>,</w:t>
      </w:r>
      <w:r w:rsidRPr="00190D72">
        <w:t>6</w:t>
      </w:r>
      <w:r w:rsidRPr="00190D72">
        <w:rPr>
          <w:lang w:val="vi-VN"/>
        </w:rPr>
        <w:t xml:space="preserve"> tỷ USD, tăng 1</w:t>
      </w:r>
      <w:r w:rsidRPr="00190D72">
        <w:t>8</w:t>
      </w:r>
      <w:r w:rsidRPr="00190D72">
        <w:rPr>
          <w:lang w:val="vi-VN"/>
        </w:rPr>
        <w:t>,</w:t>
      </w:r>
      <w:r w:rsidRPr="00190D72">
        <w:t>3</w:t>
      </w:r>
      <w:r w:rsidRPr="00190D72">
        <w:rPr>
          <w:lang w:val="vi-VN"/>
        </w:rPr>
        <w:t xml:space="preserve">%; gỗ và sản phẩm gỗ đạt </w:t>
      </w:r>
      <w:r w:rsidRPr="00190D72">
        <w:t>2,6</w:t>
      </w:r>
      <w:r w:rsidRPr="00190D72">
        <w:rPr>
          <w:lang w:val="vi-VN"/>
        </w:rPr>
        <w:t xml:space="preserve"> tỷ USD, tăng </w:t>
      </w:r>
      <w:r w:rsidRPr="00190D72">
        <w:t>9</w:t>
      </w:r>
      <w:r w:rsidRPr="00190D72">
        <w:rPr>
          <w:lang w:val="vi-VN"/>
        </w:rPr>
        <w:t>%</w:t>
      </w:r>
      <w:r w:rsidR="0083708A" w:rsidRPr="00190D72">
        <w:t xml:space="preserve">. Bên cạnh đó, một số mặt hàng nông sản, thủy sản cũng tăng </w:t>
      </w:r>
      <w:r w:rsidR="00BE4E3E" w:rsidRPr="00190D72">
        <w:t>khá</w:t>
      </w:r>
      <w:r w:rsidR="0083708A" w:rsidRPr="00190D72">
        <w:t>:</w:t>
      </w:r>
      <w:r w:rsidRPr="00190D72">
        <w:rPr>
          <w:lang w:val="vi-VN"/>
        </w:rPr>
        <w:t xml:space="preserve"> thủy sản đạt </w:t>
      </w:r>
      <w:r w:rsidRPr="00190D72">
        <w:t>2,4</w:t>
      </w:r>
      <w:r w:rsidRPr="00190D72">
        <w:rPr>
          <w:lang w:val="vi-VN"/>
        </w:rPr>
        <w:t xml:space="preserve"> t</w:t>
      </w:r>
      <w:r w:rsidRPr="00190D72">
        <w:t>ỷ</w:t>
      </w:r>
      <w:r w:rsidRPr="00190D72">
        <w:rPr>
          <w:lang w:val="vi-VN"/>
        </w:rPr>
        <w:t xml:space="preserve"> USD, tăng </w:t>
      </w:r>
      <w:r w:rsidRPr="00190D72">
        <w:t>13</w:t>
      </w:r>
      <w:r w:rsidRPr="00190D72">
        <w:rPr>
          <w:lang w:val="vi-VN"/>
        </w:rPr>
        <w:t xml:space="preserve">%; rau quả đạt </w:t>
      </w:r>
      <w:r w:rsidRPr="00190D72">
        <w:t>1,3 tỷ</w:t>
      </w:r>
      <w:r w:rsidRPr="00190D72">
        <w:rPr>
          <w:lang w:val="vi-VN"/>
        </w:rPr>
        <w:t xml:space="preserve"> USD, tăng </w:t>
      </w:r>
      <w:r w:rsidRPr="00190D72">
        <w:t>26</w:t>
      </w:r>
      <w:r w:rsidRPr="00190D72">
        <w:rPr>
          <w:lang w:val="vi-VN"/>
        </w:rPr>
        <w:t>,</w:t>
      </w:r>
      <w:r w:rsidRPr="00190D72">
        <w:t>2</w:t>
      </w:r>
      <w:r w:rsidRPr="00190D72">
        <w:rPr>
          <w:lang w:val="vi-VN"/>
        </w:rPr>
        <w:t xml:space="preserve">%; hạt điều đạt </w:t>
      </w:r>
      <w:r w:rsidRPr="00190D72">
        <w:t>1,1 tỷ</w:t>
      </w:r>
      <w:r w:rsidRPr="00190D72">
        <w:rPr>
          <w:lang w:val="vi-VN"/>
        </w:rPr>
        <w:t xml:space="preserve"> USD, </w:t>
      </w:r>
      <w:r w:rsidRPr="00190D72">
        <w:t>tăng</w:t>
      </w:r>
      <w:r w:rsidRPr="00190D72">
        <w:rPr>
          <w:lang w:val="vi-VN"/>
        </w:rPr>
        <w:t xml:space="preserve"> </w:t>
      </w:r>
      <w:r w:rsidRPr="00190D72">
        <w:t>33</w:t>
      </w:r>
      <w:r w:rsidRPr="00190D72">
        <w:rPr>
          <w:lang w:val="vi-VN"/>
        </w:rPr>
        <w:t>,</w:t>
      </w:r>
      <w:r w:rsidRPr="00190D72">
        <w:t>5</w:t>
      </w:r>
      <w:r w:rsidRPr="00190D72">
        <w:rPr>
          <w:lang w:val="vi-VN"/>
        </w:rPr>
        <w:t>%</w:t>
      </w:r>
      <w:r w:rsidRPr="00190D72">
        <w:rPr>
          <w:lang w:val="en-GB"/>
        </w:rPr>
        <w:t xml:space="preserve"> (lượng tăng 24,6%)</w:t>
      </w:r>
      <w:r w:rsidRPr="00190D72">
        <w:rPr>
          <w:lang w:val="vi-VN"/>
        </w:rPr>
        <w:t xml:space="preserve">; </w:t>
      </w:r>
      <w:r w:rsidRPr="00190D72">
        <w:t>g</w:t>
      </w:r>
      <w:r w:rsidRPr="00190D72">
        <w:rPr>
          <w:lang w:val="vi-VN"/>
        </w:rPr>
        <w:t xml:space="preserve">ạo đạt </w:t>
      </w:r>
      <w:r w:rsidRPr="00190D72">
        <w:t>1,1 tỷ</w:t>
      </w:r>
      <w:r w:rsidRPr="00190D72">
        <w:rPr>
          <w:lang w:val="vi-VN"/>
        </w:rPr>
        <w:t xml:space="preserve"> USD, </w:t>
      </w:r>
      <w:r w:rsidRPr="00190D72">
        <w:t>tăng</w:t>
      </w:r>
      <w:r w:rsidRPr="00190D72">
        <w:rPr>
          <w:lang w:val="vi-VN"/>
        </w:rPr>
        <w:t xml:space="preserve"> </w:t>
      </w:r>
      <w:r w:rsidRPr="00190D72">
        <w:t>38</w:t>
      </w:r>
      <w:r w:rsidRPr="00190D72">
        <w:rPr>
          <w:lang w:val="vi-VN"/>
        </w:rPr>
        <w:t>,</w:t>
      </w:r>
      <w:r w:rsidRPr="00190D72">
        <w:t>3</w:t>
      </w:r>
      <w:r w:rsidRPr="00190D72">
        <w:rPr>
          <w:lang w:val="vi-VN"/>
        </w:rPr>
        <w:t>%</w:t>
      </w:r>
      <w:r w:rsidRPr="00190D72">
        <w:rPr>
          <w:lang w:val="en-GB"/>
        </w:rPr>
        <w:t xml:space="preserve"> (lượng tăng 22,3%)</w:t>
      </w:r>
      <w:r w:rsidRPr="00190D72">
        <w:rPr>
          <w:lang w:val="vi-VN"/>
        </w:rPr>
        <w:t xml:space="preserve">. </w:t>
      </w:r>
      <w:r w:rsidR="0083708A" w:rsidRPr="00190D72">
        <w:t>M</w:t>
      </w:r>
      <w:r w:rsidRPr="00190D72">
        <w:rPr>
          <w:lang w:val="vi-VN"/>
        </w:rPr>
        <w:t>ột số mặt hàng</w:t>
      </w:r>
      <w:r w:rsidR="0083708A" w:rsidRPr="00190D72">
        <w:rPr>
          <w:lang w:val="vi-VN"/>
        </w:rPr>
        <w:t xml:space="preserve"> kim ngạch </w:t>
      </w:r>
      <w:r w:rsidR="0083708A" w:rsidRPr="00190D72">
        <w:rPr>
          <w:lang w:val="en-GB"/>
        </w:rPr>
        <w:t>xuất khẩu</w:t>
      </w:r>
      <w:r w:rsidRPr="00190D72">
        <w:rPr>
          <w:lang w:val="vi-VN"/>
        </w:rPr>
        <w:t xml:space="preserve"> </w:t>
      </w:r>
      <w:r w:rsidRPr="00190D72">
        <w:t>g</w:t>
      </w:r>
      <w:r w:rsidRPr="00190D72">
        <w:rPr>
          <w:lang w:val="vi-VN"/>
        </w:rPr>
        <w:t xml:space="preserve">iảm so với cùng kỳ năm trước: </w:t>
      </w:r>
      <w:r w:rsidRPr="00190D72">
        <w:t>D</w:t>
      </w:r>
      <w:r w:rsidRPr="00190D72">
        <w:rPr>
          <w:lang w:val="vi-VN"/>
        </w:rPr>
        <w:t xml:space="preserve">ầu thô đạt </w:t>
      </w:r>
      <w:r w:rsidRPr="00190D72">
        <w:t>668</w:t>
      </w:r>
      <w:r w:rsidRPr="00190D72">
        <w:rPr>
          <w:lang w:val="vi-VN"/>
        </w:rPr>
        <w:t xml:space="preserve"> triệu USD, </w:t>
      </w:r>
      <w:r w:rsidRPr="00190D72">
        <w:t>giảm</w:t>
      </w:r>
      <w:r w:rsidRPr="00190D72">
        <w:rPr>
          <w:lang w:val="vi-VN"/>
        </w:rPr>
        <w:t xml:space="preserve"> </w:t>
      </w:r>
      <w:r w:rsidRPr="00190D72">
        <w:t>24</w:t>
      </w:r>
      <w:r w:rsidRPr="00190D72">
        <w:rPr>
          <w:lang w:val="vi-VN"/>
        </w:rPr>
        <w:t>,</w:t>
      </w:r>
      <w:r w:rsidRPr="00190D72">
        <w:t>9</w:t>
      </w:r>
      <w:r w:rsidRPr="00190D72">
        <w:rPr>
          <w:lang w:val="vi-VN"/>
        </w:rPr>
        <w:t xml:space="preserve">% (lượng giảm </w:t>
      </w:r>
      <w:r w:rsidRPr="00190D72">
        <w:t>41,4</w:t>
      </w:r>
      <w:r w:rsidRPr="00190D72">
        <w:rPr>
          <w:lang w:val="vi-VN"/>
        </w:rPr>
        <w:t>%)</w:t>
      </w:r>
      <w:r w:rsidRPr="00190D72">
        <w:t>;</w:t>
      </w:r>
      <w:r w:rsidRPr="00190D72">
        <w:rPr>
          <w:lang w:val="vi-VN"/>
        </w:rPr>
        <w:t xml:space="preserve"> hạt tiêu đạt </w:t>
      </w:r>
      <w:r w:rsidRPr="00190D72">
        <w:t>317</w:t>
      </w:r>
      <w:r w:rsidRPr="00190D72">
        <w:rPr>
          <w:lang w:val="vi-VN"/>
        </w:rPr>
        <w:t xml:space="preserve"> triệu USD, giảm </w:t>
      </w:r>
      <w:r w:rsidRPr="00190D72">
        <w:t>31,9</w:t>
      </w:r>
      <w:r w:rsidRPr="00190D72">
        <w:rPr>
          <w:lang w:val="vi-VN"/>
        </w:rPr>
        <w:t>%</w:t>
      </w:r>
      <w:r w:rsidRPr="00190D72">
        <w:rPr>
          <w:lang w:val="en-GB"/>
        </w:rPr>
        <w:t xml:space="preserve"> (lượng tăng 17,9%)</w:t>
      </w:r>
      <w:r w:rsidRPr="00190D72">
        <w:rPr>
          <w:lang w:val="vi-VN"/>
        </w:rPr>
        <w:t>.</w:t>
      </w:r>
    </w:p>
    <w:p w:rsidR="008C63DB" w:rsidRPr="00190D72" w:rsidRDefault="008C63DB" w:rsidP="00952AE4">
      <w:pPr>
        <w:spacing w:before="40" w:after="40" w:line="295" w:lineRule="auto"/>
        <w:ind w:firstLine="561"/>
        <w:jc w:val="both"/>
        <w:rPr>
          <w:lang w:val="vi-VN"/>
        </w:rPr>
      </w:pPr>
      <w:r w:rsidRPr="00190D72">
        <w:rPr>
          <w:lang w:val="vi-VN"/>
        </w:rPr>
        <w:t xml:space="preserve">Về thị trường hàng hóa xuất khẩu </w:t>
      </w:r>
      <w:r w:rsidRPr="00190D72">
        <w:t>4</w:t>
      </w:r>
      <w:r w:rsidRPr="00190D72">
        <w:rPr>
          <w:lang w:val="vi-VN"/>
        </w:rPr>
        <w:t xml:space="preserve"> tháng đầu năm nay, Hoa Kỳ </w:t>
      </w:r>
      <w:r w:rsidR="005E111A" w:rsidRPr="00190D72">
        <w:t>là</w:t>
      </w:r>
      <w:r w:rsidRPr="00190D72">
        <w:t xml:space="preserve"> </w:t>
      </w:r>
      <w:r w:rsidRPr="00190D72">
        <w:rPr>
          <w:lang w:val="vi-VN"/>
        </w:rPr>
        <w:t xml:space="preserve">thị trường xuất khẩu lớn </w:t>
      </w:r>
      <w:r w:rsidRPr="00190D72">
        <w:t>nhất</w:t>
      </w:r>
      <w:r w:rsidRPr="00190D72">
        <w:rPr>
          <w:lang w:val="vi-VN"/>
        </w:rPr>
        <w:t xml:space="preserve"> của Việt Nam với kim ngạch đạt </w:t>
      </w:r>
      <w:r w:rsidRPr="00190D72">
        <w:t>14</w:t>
      </w:r>
      <w:r w:rsidRPr="00190D72">
        <w:rPr>
          <w:lang w:val="vi-VN"/>
        </w:rPr>
        <w:t xml:space="preserve"> tỷ USD, tăng 1</w:t>
      </w:r>
      <w:r w:rsidRPr="00190D72">
        <w:t>2,7</w:t>
      </w:r>
      <w:r w:rsidRPr="00190D72">
        <w:rPr>
          <w:lang w:val="vi-VN"/>
        </w:rPr>
        <w:t>%</w:t>
      </w:r>
      <w:r w:rsidRPr="00190D72">
        <w:t xml:space="preserve"> </w:t>
      </w:r>
      <w:r w:rsidRPr="00190D72">
        <w:rPr>
          <w:lang w:val="vi-VN"/>
        </w:rPr>
        <w:t>so với cùng kỳ năm trước</w:t>
      </w:r>
      <w:r w:rsidR="005E111A" w:rsidRPr="00190D72">
        <w:t>, trong đó điện thoại và linh kiện tăng 56,4%; giày dép tăng 13,5%; hàng dệt may tăng 12,1%.</w:t>
      </w:r>
      <w:r w:rsidRPr="00190D72">
        <w:rPr>
          <w:lang w:val="vi-VN"/>
        </w:rPr>
        <w:t xml:space="preserve"> </w:t>
      </w:r>
      <w:r w:rsidR="005E111A" w:rsidRPr="00190D72">
        <w:t>T</w:t>
      </w:r>
      <w:r w:rsidRPr="00190D72">
        <w:rPr>
          <w:lang w:val="vi-VN"/>
        </w:rPr>
        <w:t xml:space="preserve">iếp đến là EU đạt </w:t>
      </w:r>
      <w:r w:rsidRPr="00190D72">
        <w:t>13</w:t>
      </w:r>
      <w:r w:rsidRPr="00190D72">
        <w:rPr>
          <w:lang w:val="vi-VN"/>
        </w:rPr>
        <w:t>,</w:t>
      </w:r>
      <w:r w:rsidRPr="00190D72">
        <w:t>2</w:t>
      </w:r>
      <w:r w:rsidRPr="00190D72">
        <w:rPr>
          <w:lang w:val="vi-VN"/>
        </w:rPr>
        <w:t xml:space="preserve"> tỷ USD, tăng 1</w:t>
      </w:r>
      <w:r w:rsidRPr="00190D72">
        <w:t>6</w:t>
      </w:r>
      <w:r w:rsidRPr="00190D72">
        <w:rPr>
          <w:lang w:val="vi-VN"/>
        </w:rPr>
        <w:t>%</w:t>
      </w:r>
      <w:r w:rsidR="005E111A" w:rsidRPr="00190D72">
        <w:t>, trong đó máy móc thiết bị, dụng cụ phụ tùng tăng 41,9%; điện thoại và linh kiện tăng 30,7%</w:t>
      </w:r>
      <w:r w:rsidRPr="00190D72">
        <w:rPr>
          <w:lang w:val="vi-VN"/>
        </w:rPr>
        <w:t>;</w:t>
      </w:r>
      <w:r w:rsidR="005E111A" w:rsidRPr="00190D72">
        <w:t xml:space="preserve"> điện tử, máy tính và linh kiện tăng 7,9%.</w:t>
      </w:r>
      <w:r w:rsidRPr="00190D72">
        <w:rPr>
          <w:lang w:val="vi-VN"/>
        </w:rPr>
        <w:t xml:space="preserve"> Trung Quốc đạt </w:t>
      </w:r>
      <w:r w:rsidRPr="00190D72">
        <w:t>10</w:t>
      </w:r>
      <w:r w:rsidRPr="00190D72">
        <w:rPr>
          <w:lang w:val="vi-VN"/>
        </w:rPr>
        <w:t>,</w:t>
      </w:r>
      <w:r w:rsidRPr="00190D72">
        <w:t>7</w:t>
      </w:r>
      <w:r w:rsidRPr="00190D72">
        <w:rPr>
          <w:lang w:val="vi-VN"/>
        </w:rPr>
        <w:t xml:space="preserve"> tỷ USD, tăng </w:t>
      </w:r>
      <w:r w:rsidRPr="00190D72">
        <w:t>29</w:t>
      </w:r>
      <w:r w:rsidRPr="00190D72">
        <w:rPr>
          <w:lang w:val="vi-VN"/>
        </w:rPr>
        <w:t>%</w:t>
      </w:r>
      <w:r w:rsidR="005E111A" w:rsidRPr="00190D72">
        <w:t xml:space="preserve">, trong đó </w:t>
      </w:r>
      <w:r w:rsidR="00CA1B04" w:rsidRPr="00190D72">
        <w:t>điện thoại và linh kiện gấp gần 3,7 lần cùng kỳ năm trước</w:t>
      </w:r>
      <w:r w:rsidRPr="00190D72">
        <w:rPr>
          <w:lang w:val="vi-VN"/>
        </w:rPr>
        <w:t>;</w:t>
      </w:r>
      <w:r w:rsidR="00CA1B04" w:rsidRPr="00190D72">
        <w:t xml:space="preserve"> rau quả tăng </w:t>
      </w:r>
      <w:r w:rsidR="00B87D0B" w:rsidRPr="00190D72">
        <w:t>24%;</w:t>
      </w:r>
      <w:r w:rsidR="00CA1B04" w:rsidRPr="00190D72">
        <w:t xml:space="preserve"> </w:t>
      </w:r>
      <w:r w:rsidR="00857249">
        <w:t xml:space="preserve">điện tử, </w:t>
      </w:r>
      <w:r w:rsidR="00CA1B04" w:rsidRPr="00190D72">
        <w:t>máy tính và linh kiện tăng 23%.</w:t>
      </w:r>
      <w:r w:rsidR="00183269">
        <w:t xml:space="preserve"> Thị trường</w:t>
      </w:r>
      <w:r w:rsidRPr="00190D72">
        <w:rPr>
          <w:lang w:val="vi-VN"/>
        </w:rPr>
        <w:t xml:space="preserve"> ASEAN đạt </w:t>
      </w:r>
      <w:r w:rsidRPr="00190D72">
        <w:t>7</w:t>
      </w:r>
      <w:r w:rsidRPr="00190D72">
        <w:rPr>
          <w:lang w:val="vi-VN"/>
        </w:rPr>
        <w:t>,</w:t>
      </w:r>
      <w:r w:rsidRPr="00190D72">
        <w:t>9</w:t>
      </w:r>
      <w:r w:rsidRPr="00190D72">
        <w:rPr>
          <w:lang w:val="vi-VN"/>
        </w:rPr>
        <w:t xml:space="preserve"> tỷ USD, tăng 1</w:t>
      </w:r>
      <w:r w:rsidRPr="00190D72">
        <w:t>6</w:t>
      </w:r>
      <w:r w:rsidRPr="00190D72">
        <w:rPr>
          <w:lang w:val="vi-VN"/>
        </w:rPr>
        <w:t>,</w:t>
      </w:r>
      <w:r w:rsidRPr="00190D72">
        <w:t>4</w:t>
      </w:r>
      <w:r w:rsidRPr="00190D72">
        <w:rPr>
          <w:lang w:val="vi-VN"/>
        </w:rPr>
        <w:t>%</w:t>
      </w:r>
      <w:r w:rsidR="0092215E" w:rsidRPr="00190D72">
        <w:t>, trong đó gạo tăng 159%; sắt thép tăng 52,5%</w:t>
      </w:r>
      <w:r w:rsidRPr="00190D72">
        <w:rPr>
          <w:lang w:val="vi-VN"/>
        </w:rPr>
        <w:t>;</w:t>
      </w:r>
      <w:r w:rsidR="0092215E" w:rsidRPr="00190D72">
        <w:t xml:space="preserve"> điện thoại và linh kiện tăng 16%.</w:t>
      </w:r>
      <w:r w:rsidRPr="00190D72">
        <w:rPr>
          <w:lang w:val="vi-VN"/>
        </w:rPr>
        <w:t xml:space="preserve"> Nhật Bản đạt </w:t>
      </w:r>
      <w:r w:rsidRPr="00190D72">
        <w:t>5</w:t>
      </w:r>
      <w:r w:rsidRPr="00190D72">
        <w:rPr>
          <w:lang w:val="vi-VN"/>
        </w:rPr>
        <w:t>,</w:t>
      </w:r>
      <w:r w:rsidRPr="00190D72">
        <w:t>8</w:t>
      </w:r>
      <w:r w:rsidRPr="00190D72">
        <w:rPr>
          <w:lang w:val="vi-VN"/>
        </w:rPr>
        <w:t xml:space="preserve"> tỷ USD, tăng 1</w:t>
      </w:r>
      <w:r w:rsidRPr="00190D72">
        <w:t>5</w:t>
      </w:r>
      <w:r w:rsidRPr="00190D72">
        <w:rPr>
          <w:lang w:val="vi-VN"/>
        </w:rPr>
        <w:t>,</w:t>
      </w:r>
      <w:r w:rsidRPr="00190D72">
        <w:t>2</w:t>
      </w:r>
      <w:r w:rsidRPr="00190D72">
        <w:rPr>
          <w:lang w:val="vi-VN"/>
        </w:rPr>
        <w:t>%</w:t>
      </w:r>
      <w:r w:rsidR="0092215E" w:rsidRPr="00190D72">
        <w:t>, trong đó hàng dệt may tăng 24,1%</w:t>
      </w:r>
      <w:r w:rsidRPr="00190D72">
        <w:rPr>
          <w:lang w:val="vi-VN"/>
        </w:rPr>
        <w:t>;</w:t>
      </w:r>
      <w:r w:rsidR="0092215E" w:rsidRPr="00190D72">
        <w:t xml:space="preserve"> phương tiện vận tải và </w:t>
      </w:r>
      <w:r w:rsidR="0092215E" w:rsidRPr="00190D72">
        <w:lastRenderedPageBreak/>
        <w:t>phụ tùng tăng 17,2%.</w:t>
      </w:r>
      <w:r w:rsidRPr="00190D72">
        <w:rPr>
          <w:lang w:val="vi-VN"/>
        </w:rPr>
        <w:t xml:space="preserve"> Hàn Quốc đạt </w:t>
      </w:r>
      <w:r w:rsidRPr="00190D72">
        <w:t>5</w:t>
      </w:r>
      <w:r w:rsidRPr="00190D72">
        <w:rPr>
          <w:lang w:val="vi-VN"/>
        </w:rPr>
        <w:t>,</w:t>
      </w:r>
      <w:r w:rsidRPr="00190D72">
        <w:t>8</w:t>
      </w:r>
      <w:r w:rsidRPr="00190D72">
        <w:rPr>
          <w:lang w:val="vi-VN"/>
        </w:rPr>
        <w:t xml:space="preserve"> tỷ USD, tăng 3</w:t>
      </w:r>
      <w:r w:rsidRPr="00190D72">
        <w:t>1</w:t>
      </w:r>
      <w:r w:rsidRPr="00190D72">
        <w:rPr>
          <w:lang w:val="vi-VN"/>
        </w:rPr>
        <w:t>,</w:t>
      </w:r>
      <w:r w:rsidRPr="00190D72">
        <w:t>2</w:t>
      </w:r>
      <w:r w:rsidRPr="00190D72">
        <w:rPr>
          <w:lang w:val="vi-VN"/>
        </w:rPr>
        <w:t>%</w:t>
      </w:r>
      <w:r w:rsidR="0092215E" w:rsidRPr="00190D72">
        <w:t xml:space="preserve">, trong đó </w:t>
      </w:r>
      <w:r w:rsidR="00857249">
        <w:t>điện tử, máy</w:t>
      </w:r>
      <w:r w:rsidR="0092215E" w:rsidRPr="00190D72">
        <w:t xml:space="preserve"> tính và linh kiện tăng 46,2%; điện thoại và linh kiện tăng 37,4%; hàng dệt may tăng 22,6%</w:t>
      </w:r>
      <w:r w:rsidRPr="00190D72">
        <w:rPr>
          <w:lang w:val="vi-VN"/>
        </w:rPr>
        <w:t>.</w:t>
      </w:r>
    </w:p>
    <w:p w:rsidR="008C63DB" w:rsidRPr="00092690" w:rsidRDefault="008C63DB" w:rsidP="00952AE4">
      <w:pPr>
        <w:tabs>
          <w:tab w:val="left" w:pos="900"/>
        </w:tabs>
        <w:spacing w:before="40" w:after="40" w:line="293" w:lineRule="auto"/>
        <w:ind w:firstLine="561"/>
        <w:jc w:val="both"/>
        <w:rPr>
          <w:spacing w:val="-2"/>
          <w:lang w:val="vi-VN"/>
        </w:rPr>
      </w:pPr>
      <w:r w:rsidRPr="00092690">
        <w:rPr>
          <w:spacing w:val="-2"/>
          <w:lang w:val="vi-VN"/>
        </w:rPr>
        <w:t xml:space="preserve">Kim ngạch hàng hóa nhập khẩu thực hiện tháng </w:t>
      </w:r>
      <w:r w:rsidRPr="00092690">
        <w:rPr>
          <w:spacing w:val="-2"/>
        </w:rPr>
        <w:t>3</w:t>
      </w:r>
      <w:r w:rsidRPr="00092690">
        <w:rPr>
          <w:spacing w:val="-2"/>
          <w:lang w:val="vi-VN"/>
        </w:rPr>
        <w:t>/201</w:t>
      </w:r>
      <w:r w:rsidRPr="00092690">
        <w:rPr>
          <w:spacing w:val="-2"/>
        </w:rPr>
        <w:t>8</w:t>
      </w:r>
      <w:r w:rsidRPr="00092690">
        <w:rPr>
          <w:spacing w:val="-2"/>
          <w:lang w:val="vi-VN"/>
        </w:rPr>
        <w:t xml:space="preserve"> </w:t>
      </w:r>
      <w:r w:rsidRPr="00092690">
        <w:rPr>
          <w:spacing w:val="-2"/>
        </w:rPr>
        <w:t>đạt</w:t>
      </w:r>
      <w:r w:rsidRPr="00092690">
        <w:rPr>
          <w:spacing w:val="-2"/>
          <w:lang w:val="vi-VN"/>
        </w:rPr>
        <w:t xml:space="preserve"> </w:t>
      </w:r>
      <w:r w:rsidRPr="00092690">
        <w:rPr>
          <w:spacing w:val="-2"/>
        </w:rPr>
        <w:t xml:space="preserve">18.875 </w:t>
      </w:r>
      <w:r w:rsidRPr="00092690">
        <w:rPr>
          <w:spacing w:val="-2"/>
          <w:lang w:val="vi-VN"/>
        </w:rPr>
        <w:t>triệu</w:t>
      </w:r>
      <w:r w:rsidRPr="00092690">
        <w:rPr>
          <w:spacing w:val="-2"/>
        </w:rPr>
        <w:t xml:space="preserve"> USD</w:t>
      </w:r>
      <w:r w:rsidRPr="00092690">
        <w:rPr>
          <w:spacing w:val="-2"/>
          <w:lang w:val="vi-VN"/>
        </w:rPr>
        <w:t xml:space="preserve">, </w:t>
      </w:r>
      <w:r w:rsidRPr="00092690">
        <w:rPr>
          <w:spacing w:val="-2"/>
        </w:rPr>
        <w:t>thấp</w:t>
      </w:r>
      <w:r w:rsidRPr="00092690">
        <w:rPr>
          <w:spacing w:val="-2"/>
          <w:lang w:val="vi-VN"/>
        </w:rPr>
        <w:t xml:space="preserve"> hơn </w:t>
      </w:r>
      <w:r w:rsidRPr="00092690">
        <w:rPr>
          <w:spacing w:val="-2"/>
        </w:rPr>
        <w:t>125</w:t>
      </w:r>
      <w:r w:rsidRPr="00092690">
        <w:rPr>
          <w:spacing w:val="-2"/>
          <w:lang w:val="vi-VN"/>
        </w:rPr>
        <w:t xml:space="preserve"> </w:t>
      </w:r>
      <w:r w:rsidRPr="00092690">
        <w:rPr>
          <w:spacing w:val="-2"/>
        </w:rPr>
        <w:t>tr</w:t>
      </w:r>
      <w:r w:rsidRPr="00092690">
        <w:rPr>
          <w:spacing w:val="-2"/>
          <w:lang w:val="vi-VN"/>
        </w:rPr>
        <w:t>iệu</w:t>
      </w:r>
      <w:r w:rsidRPr="00092690">
        <w:rPr>
          <w:spacing w:val="-2"/>
        </w:rPr>
        <w:t xml:space="preserve"> USD</w:t>
      </w:r>
      <w:r w:rsidRPr="00092690">
        <w:rPr>
          <w:spacing w:val="-2"/>
          <w:lang w:val="vi-VN"/>
        </w:rPr>
        <w:t xml:space="preserve"> so với số ước tính, trong đó </w:t>
      </w:r>
      <w:r w:rsidRPr="00092690">
        <w:rPr>
          <w:spacing w:val="-2"/>
        </w:rPr>
        <w:t>máy móc thiết bị, dụng cụ phụ tùng cao hơn 220 triệu USD; điện thoại và linh kiện thấp hơn 119 triệu USD; sắt thép thấp hơn 41 triệu USD; sản phẩm hóa chất thấp hơn 34 triệu USD; phương tiện vận tải khác và phụ tùng thấp hơn 32 triệu USD; ô tô nguyên chiếc thấp hơn 30 triệu USD; bông thấp hơn 28 triệu USD; xăng dầu, thủy sản và lúa mỳ cùng thấp hơn 16 triệu USD; cao su thấp hơn 12 triệu USD.</w:t>
      </w:r>
    </w:p>
    <w:p w:rsidR="008C63DB" w:rsidRPr="00190D72" w:rsidRDefault="008C63DB" w:rsidP="00952AE4">
      <w:pPr>
        <w:spacing w:before="40" w:after="40" w:line="293" w:lineRule="auto"/>
        <w:ind w:firstLine="561"/>
        <w:jc w:val="both"/>
      </w:pPr>
      <w:r w:rsidRPr="00190D72">
        <w:rPr>
          <w:bCs/>
          <w:lang w:val="vi-VN"/>
        </w:rPr>
        <w:t xml:space="preserve">Kim ngạch hàng hóa nhập khẩu tháng </w:t>
      </w:r>
      <w:r w:rsidRPr="00190D72">
        <w:rPr>
          <w:bCs/>
        </w:rPr>
        <w:t>Tư</w:t>
      </w:r>
      <w:r w:rsidRPr="00190D72">
        <w:rPr>
          <w:bCs/>
          <w:lang w:val="vi-VN"/>
        </w:rPr>
        <w:t xml:space="preserve"> ước tính đạt 1</w:t>
      </w:r>
      <w:r w:rsidRPr="00190D72">
        <w:rPr>
          <w:bCs/>
        </w:rPr>
        <w:t>7</w:t>
      </w:r>
      <w:r w:rsidRPr="00190D72">
        <w:rPr>
          <w:bCs/>
          <w:lang w:val="vi-VN"/>
        </w:rPr>
        <w:t>,</w:t>
      </w:r>
      <w:r w:rsidRPr="00190D72">
        <w:rPr>
          <w:bCs/>
        </w:rPr>
        <w:t>5</w:t>
      </w:r>
      <w:r w:rsidRPr="00190D72">
        <w:rPr>
          <w:bCs/>
          <w:lang w:val="en-GB"/>
        </w:rPr>
        <w:t>0</w:t>
      </w:r>
      <w:r w:rsidRPr="00190D72">
        <w:rPr>
          <w:bCs/>
          <w:lang w:val="vi-VN"/>
        </w:rPr>
        <w:t xml:space="preserve"> tỷ USD, </w:t>
      </w:r>
      <w:r w:rsidRPr="00190D72">
        <w:rPr>
          <w:bCs/>
        </w:rPr>
        <w:t>giảm</w:t>
      </w:r>
      <w:r w:rsidRPr="00190D72">
        <w:rPr>
          <w:bCs/>
          <w:lang w:val="vi-VN"/>
        </w:rPr>
        <w:t xml:space="preserve"> </w:t>
      </w:r>
      <w:r w:rsidRPr="00190D72">
        <w:rPr>
          <w:bCs/>
        </w:rPr>
        <w:t>7</w:t>
      </w:r>
      <w:r w:rsidRPr="00190D72">
        <w:rPr>
          <w:bCs/>
          <w:lang w:val="vi-VN"/>
        </w:rPr>
        <w:t>,</w:t>
      </w:r>
      <w:r w:rsidRPr="00190D72">
        <w:rPr>
          <w:bCs/>
        </w:rPr>
        <w:t>3</w:t>
      </w:r>
      <w:r w:rsidRPr="00190D72">
        <w:rPr>
          <w:bCs/>
          <w:lang w:val="vi-VN"/>
        </w:rPr>
        <w:t xml:space="preserve">% so với tháng trước, trong đó </w:t>
      </w:r>
      <w:r w:rsidRPr="00190D72">
        <w:rPr>
          <w:lang w:val="vi-VN"/>
        </w:rPr>
        <w:t xml:space="preserve">khu vực kinh tế trong nước đạt </w:t>
      </w:r>
      <w:r w:rsidRPr="00190D72">
        <w:t>6</w:t>
      </w:r>
      <w:r w:rsidRPr="00190D72">
        <w:rPr>
          <w:lang w:val="vi-VN"/>
        </w:rPr>
        <w:t>,</w:t>
      </w:r>
      <w:r w:rsidRPr="00190D72">
        <w:t>9</w:t>
      </w:r>
      <w:r w:rsidRPr="00190D72">
        <w:rPr>
          <w:lang w:val="en-GB"/>
        </w:rPr>
        <w:t>0</w:t>
      </w:r>
      <w:r w:rsidRPr="00190D72">
        <w:rPr>
          <w:lang w:val="vi-VN"/>
        </w:rPr>
        <w:t xml:space="preserve"> tỷ USD, </w:t>
      </w:r>
      <w:r w:rsidRPr="00190D72">
        <w:t>giảm</w:t>
      </w:r>
      <w:r w:rsidRPr="00190D72">
        <w:rPr>
          <w:lang w:val="vi-VN"/>
        </w:rPr>
        <w:t xml:space="preserve"> </w:t>
      </w:r>
      <w:r w:rsidRPr="00190D72">
        <w:t>7,5</w:t>
      </w:r>
      <w:r w:rsidRPr="00190D72">
        <w:rPr>
          <w:lang w:val="vi-VN"/>
        </w:rPr>
        <w:t xml:space="preserve">%; khu vực có vốn đầu tư nước ngoài đạt </w:t>
      </w:r>
      <w:r w:rsidRPr="00190D72">
        <w:t>10</w:t>
      </w:r>
      <w:r w:rsidRPr="00190D72">
        <w:rPr>
          <w:lang w:val="vi-VN"/>
        </w:rPr>
        <w:t>,</w:t>
      </w:r>
      <w:r w:rsidRPr="00190D72">
        <w:t>6</w:t>
      </w:r>
      <w:r w:rsidRPr="00190D72">
        <w:rPr>
          <w:lang w:val="en-GB"/>
        </w:rPr>
        <w:t>0</w:t>
      </w:r>
      <w:r w:rsidRPr="00190D72">
        <w:rPr>
          <w:lang w:val="vi-VN"/>
        </w:rPr>
        <w:t xml:space="preserve"> tỷ USD, </w:t>
      </w:r>
      <w:r w:rsidRPr="00190D72">
        <w:t>giảm</w:t>
      </w:r>
      <w:r w:rsidRPr="00190D72">
        <w:rPr>
          <w:lang w:val="vi-VN"/>
        </w:rPr>
        <w:t xml:space="preserve"> </w:t>
      </w:r>
      <w:r w:rsidRPr="00190D72">
        <w:t>7</w:t>
      </w:r>
      <w:r w:rsidRPr="00190D72">
        <w:rPr>
          <w:lang w:val="vi-VN"/>
        </w:rPr>
        <w:t>,</w:t>
      </w:r>
      <w:r w:rsidRPr="00190D72">
        <w:t>2</w:t>
      </w:r>
      <w:r w:rsidRPr="00190D72">
        <w:rPr>
          <w:lang w:val="vi-VN"/>
        </w:rPr>
        <w:t xml:space="preserve">%. Kim ngạch nhập khẩu </w:t>
      </w:r>
      <w:r w:rsidRPr="00190D72">
        <w:t>một số mặt hàng giảm</w:t>
      </w:r>
      <w:r w:rsidRPr="00190D72">
        <w:rPr>
          <w:lang w:val="vi-VN"/>
        </w:rPr>
        <w:t xml:space="preserve"> so với tháng trước:</w:t>
      </w:r>
      <w:r w:rsidRPr="00190D72">
        <w:t xml:space="preserve"> M</w:t>
      </w:r>
      <w:r w:rsidRPr="00190D72">
        <w:rPr>
          <w:rFonts w:eastAsia="Calibri"/>
        </w:rPr>
        <w:t xml:space="preserve">áy móc thiết bị, dụng cụ phụ tùng giảm 4,4%; </w:t>
      </w:r>
      <w:r w:rsidRPr="00190D72">
        <w:rPr>
          <w:lang w:val="vi-VN"/>
        </w:rPr>
        <w:t xml:space="preserve">chất dẻo </w:t>
      </w:r>
      <w:r w:rsidRPr="00190D72">
        <w:t>giảm</w:t>
      </w:r>
      <w:r w:rsidRPr="00190D72">
        <w:rPr>
          <w:lang w:val="vi-VN"/>
        </w:rPr>
        <w:t xml:space="preserve"> </w:t>
      </w:r>
      <w:r w:rsidRPr="00190D72">
        <w:t>10</w:t>
      </w:r>
      <w:r w:rsidRPr="00190D72">
        <w:rPr>
          <w:lang w:val="vi-VN"/>
        </w:rPr>
        <w:t>,</w:t>
      </w:r>
      <w:r w:rsidRPr="00190D72">
        <w:t>6</w:t>
      </w:r>
      <w:r w:rsidRPr="00190D72">
        <w:rPr>
          <w:lang w:val="vi-VN"/>
        </w:rPr>
        <w:t>%</w:t>
      </w:r>
      <w:r w:rsidRPr="00190D72">
        <w:rPr>
          <w:rFonts w:eastAsia="Calibri"/>
        </w:rPr>
        <w:t xml:space="preserve">; lúa mỳ giảm 13,4%; </w:t>
      </w:r>
      <w:r w:rsidRPr="00190D72">
        <w:t>đ</w:t>
      </w:r>
      <w:r w:rsidRPr="00190D72">
        <w:rPr>
          <w:rFonts w:eastAsia="Calibri"/>
        </w:rPr>
        <w:t xml:space="preserve">iện tử, máy tính và linh kiện giảm 18,9%; </w:t>
      </w:r>
      <w:r w:rsidRPr="00190D72">
        <w:t>khí đốt hóa lỏng giảm 19,3%; xăng dầu giảm 19,6%; cao su giảm 23,9%</w:t>
      </w:r>
      <w:r w:rsidRPr="00190D72">
        <w:rPr>
          <w:lang w:val="vi-VN"/>
        </w:rPr>
        <w:t xml:space="preserve">. </w:t>
      </w:r>
      <w:r w:rsidRPr="00190D72">
        <w:rPr>
          <w:bCs/>
          <w:lang w:val="vi-VN"/>
        </w:rPr>
        <w:t xml:space="preserve">So với cùng kỳ năm trước, kim ngạch nhập khẩu tháng </w:t>
      </w:r>
      <w:r w:rsidRPr="00190D72">
        <w:rPr>
          <w:bCs/>
        </w:rPr>
        <w:t>Tư</w:t>
      </w:r>
      <w:r w:rsidRPr="00190D72">
        <w:rPr>
          <w:bCs/>
          <w:lang w:val="vi-VN"/>
        </w:rPr>
        <w:t xml:space="preserve"> </w:t>
      </w:r>
      <w:r w:rsidRPr="00190D72">
        <w:rPr>
          <w:bCs/>
        </w:rPr>
        <w:t>tăng</w:t>
      </w:r>
      <w:r w:rsidR="00370BAA" w:rsidRPr="00190D72">
        <w:rPr>
          <w:bCs/>
        </w:rPr>
        <w:t xml:space="preserve"> nhẹ</w:t>
      </w:r>
      <w:r w:rsidRPr="00190D72">
        <w:rPr>
          <w:bCs/>
          <w:lang w:val="vi-VN"/>
        </w:rPr>
        <w:t xml:space="preserve"> </w:t>
      </w:r>
      <w:r w:rsidRPr="00190D72">
        <w:rPr>
          <w:rFonts w:eastAsia="Calibri"/>
        </w:rPr>
        <w:t>1,2%</w:t>
      </w:r>
      <w:r w:rsidR="00370BAA" w:rsidRPr="00190D72">
        <w:rPr>
          <w:rFonts w:eastAsia="Calibri"/>
        </w:rPr>
        <w:t>,</w:t>
      </w:r>
      <w:r w:rsidRPr="00190D72">
        <w:rPr>
          <w:rFonts w:eastAsia="Calibri"/>
        </w:rPr>
        <w:t xml:space="preserve"> trong đó khu vực kinh tế trong nước tăng 6,1%</w:t>
      </w:r>
      <w:r w:rsidR="00370BAA" w:rsidRPr="00190D72">
        <w:rPr>
          <w:rFonts w:eastAsia="Calibri"/>
        </w:rPr>
        <w:t>;</w:t>
      </w:r>
      <w:r w:rsidRPr="00190D72">
        <w:rPr>
          <w:rFonts w:eastAsia="Calibri"/>
        </w:rPr>
        <w:t xml:space="preserve"> khu vực có đầu tư nước ngoài giảm 1,8%. </w:t>
      </w:r>
      <w:r w:rsidRPr="00190D72">
        <w:rPr>
          <w:rFonts w:eastAsia="Calibri"/>
          <w:lang w:val="vi-VN"/>
        </w:rPr>
        <w:t xml:space="preserve">Kim ngạch nhập khẩu một số mặt hàng </w:t>
      </w:r>
      <w:r w:rsidRPr="00190D72">
        <w:rPr>
          <w:rFonts w:eastAsia="Calibri"/>
        </w:rPr>
        <w:t>tăng</w:t>
      </w:r>
      <w:r w:rsidR="00E12456" w:rsidRPr="00190D72">
        <w:rPr>
          <w:rFonts w:eastAsia="Calibri"/>
        </w:rPr>
        <w:t xml:space="preserve"> so với cùng kỳ năm trước</w:t>
      </w:r>
      <w:r w:rsidRPr="00190D72">
        <w:rPr>
          <w:rFonts w:eastAsia="Calibri"/>
          <w:lang w:val="vi-VN"/>
        </w:rPr>
        <w:t xml:space="preserve">: </w:t>
      </w:r>
      <w:r w:rsidRPr="00190D72">
        <w:rPr>
          <w:rStyle w:val="Strong"/>
          <w:b w:val="0"/>
        </w:rPr>
        <w:t>Kim loại thường khác tăng 41,2%; chất dẻo tăng 26%.</w:t>
      </w:r>
    </w:p>
    <w:p w:rsidR="008C63DB" w:rsidRPr="00190D72" w:rsidRDefault="008C63DB" w:rsidP="00952AE4">
      <w:pPr>
        <w:spacing w:before="40" w:after="40" w:line="293" w:lineRule="auto"/>
        <w:ind w:firstLine="561"/>
        <w:jc w:val="both"/>
        <w:rPr>
          <w:bCs/>
          <w:lang w:val="vi-VN"/>
        </w:rPr>
      </w:pPr>
      <w:r w:rsidRPr="00190D72">
        <w:rPr>
          <w:bCs/>
          <w:lang w:val="en-GB"/>
        </w:rPr>
        <w:t>Tính chung 4 tháng đầu năm, k</w:t>
      </w:r>
      <w:r w:rsidRPr="00190D72">
        <w:rPr>
          <w:bCs/>
          <w:lang w:val="vi-VN"/>
        </w:rPr>
        <w:t xml:space="preserve">im ngạch hàng hoá nhập khẩu ước tính đạt </w:t>
      </w:r>
      <w:r w:rsidRPr="00190D72">
        <w:rPr>
          <w:bCs/>
        </w:rPr>
        <w:t>70</w:t>
      </w:r>
      <w:r w:rsidRPr="00190D72">
        <w:rPr>
          <w:bCs/>
          <w:lang w:val="vi-VN"/>
        </w:rPr>
        <w:t>,</w:t>
      </w:r>
      <w:r w:rsidRPr="00190D72">
        <w:rPr>
          <w:bCs/>
        </w:rPr>
        <w:t>37</w:t>
      </w:r>
      <w:r w:rsidRPr="00190D72">
        <w:rPr>
          <w:bCs/>
          <w:lang w:val="vi-VN"/>
        </w:rPr>
        <w:t xml:space="preserve"> tỷ USD, tăng 1</w:t>
      </w:r>
      <w:r w:rsidRPr="00190D72">
        <w:rPr>
          <w:bCs/>
        </w:rPr>
        <w:t>0</w:t>
      </w:r>
      <w:r w:rsidRPr="00190D72">
        <w:rPr>
          <w:bCs/>
          <w:lang w:val="vi-VN"/>
        </w:rPr>
        <w:t>,</w:t>
      </w:r>
      <w:r w:rsidRPr="00190D72">
        <w:rPr>
          <w:bCs/>
        </w:rPr>
        <w:t>1</w:t>
      </w:r>
      <w:r w:rsidRPr="00190D72">
        <w:rPr>
          <w:bCs/>
          <w:lang w:val="vi-VN"/>
        </w:rPr>
        <w:t xml:space="preserve">% so với cùng kỳ năm trước, trong đó khu vực kinh tế trong nước đạt </w:t>
      </w:r>
      <w:r w:rsidRPr="00190D72">
        <w:rPr>
          <w:bCs/>
        </w:rPr>
        <w:t>28</w:t>
      </w:r>
      <w:r w:rsidRPr="00190D72">
        <w:rPr>
          <w:bCs/>
          <w:lang w:val="vi-VN"/>
        </w:rPr>
        <w:t>,</w:t>
      </w:r>
      <w:r w:rsidRPr="00190D72">
        <w:rPr>
          <w:bCs/>
        </w:rPr>
        <w:t>06</w:t>
      </w:r>
      <w:r w:rsidRPr="00190D72">
        <w:rPr>
          <w:bCs/>
          <w:lang w:val="vi-VN"/>
        </w:rPr>
        <w:t xml:space="preserve"> tỷ USD, tăng </w:t>
      </w:r>
      <w:r w:rsidRPr="00190D72">
        <w:rPr>
          <w:bCs/>
        </w:rPr>
        <w:t>11,2</w:t>
      </w:r>
      <w:r w:rsidRPr="00190D72">
        <w:rPr>
          <w:bCs/>
          <w:lang w:val="vi-VN"/>
        </w:rPr>
        <w:t xml:space="preserve">%; khu vực có vốn đầu tư nước ngoài đạt </w:t>
      </w:r>
      <w:r w:rsidRPr="00190D72">
        <w:rPr>
          <w:bCs/>
        </w:rPr>
        <w:t>42</w:t>
      </w:r>
      <w:r w:rsidRPr="00190D72">
        <w:rPr>
          <w:bCs/>
          <w:lang w:val="vi-VN"/>
        </w:rPr>
        <w:t>,</w:t>
      </w:r>
      <w:r w:rsidRPr="00190D72">
        <w:rPr>
          <w:bCs/>
        </w:rPr>
        <w:t>31</w:t>
      </w:r>
      <w:r w:rsidRPr="00190D72">
        <w:rPr>
          <w:bCs/>
          <w:lang w:val="vi-VN"/>
        </w:rPr>
        <w:t xml:space="preserve"> tỷ USD, tăng </w:t>
      </w:r>
      <w:r w:rsidRPr="00190D72">
        <w:rPr>
          <w:bCs/>
        </w:rPr>
        <w:t>9,3</w:t>
      </w:r>
      <w:r w:rsidRPr="00190D72">
        <w:rPr>
          <w:bCs/>
          <w:lang w:val="vi-VN"/>
        </w:rPr>
        <w:t xml:space="preserve">%. Kim ngạch nhập khẩu một số mặt hàng </w:t>
      </w:r>
      <w:r w:rsidRPr="00190D72">
        <w:rPr>
          <w:bCs/>
        </w:rPr>
        <w:t>tăng so với cùng kỳ năm trước</w:t>
      </w:r>
      <w:r w:rsidRPr="00190D72">
        <w:rPr>
          <w:bCs/>
          <w:lang w:val="vi-VN"/>
        </w:rPr>
        <w:t xml:space="preserve">: </w:t>
      </w:r>
      <w:r w:rsidRPr="00190D72">
        <w:rPr>
          <w:bCs/>
        </w:rPr>
        <w:t>Đ</w:t>
      </w:r>
      <w:r w:rsidRPr="00190D72">
        <w:rPr>
          <w:bCs/>
          <w:lang w:val="vi-VN"/>
        </w:rPr>
        <w:t xml:space="preserve">iện tử, máy tính và linh kiện đạt </w:t>
      </w:r>
      <w:r w:rsidRPr="00190D72">
        <w:rPr>
          <w:bCs/>
        </w:rPr>
        <w:t>13</w:t>
      </w:r>
      <w:r w:rsidRPr="00190D72">
        <w:rPr>
          <w:bCs/>
          <w:lang w:val="vi-VN"/>
        </w:rPr>
        <w:t>,</w:t>
      </w:r>
      <w:r w:rsidRPr="00190D72">
        <w:rPr>
          <w:bCs/>
        </w:rPr>
        <w:t>4</w:t>
      </w:r>
      <w:r w:rsidRPr="00190D72">
        <w:rPr>
          <w:bCs/>
          <w:lang w:val="vi-VN"/>
        </w:rPr>
        <w:t xml:space="preserve"> tỷ USD, tăng </w:t>
      </w:r>
      <w:r w:rsidRPr="00190D72">
        <w:rPr>
          <w:bCs/>
        </w:rPr>
        <w:t>22</w:t>
      </w:r>
      <w:r w:rsidRPr="00190D72">
        <w:rPr>
          <w:bCs/>
          <w:lang w:val="vi-VN"/>
        </w:rPr>
        <w:t>,</w:t>
      </w:r>
      <w:r w:rsidRPr="00190D72">
        <w:rPr>
          <w:bCs/>
        </w:rPr>
        <w:t>3</w:t>
      </w:r>
      <w:r w:rsidRPr="00190D72">
        <w:rPr>
          <w:bCs/>
          <w:lang w:val="vi-VN"/>
        </w:rPr>
        <w:t xml:space="preserve">%; </w:t>
      </w:r>
      <w:r w:rsidRPr="00190D72">
        <w:rPr>
          <w:bCs/>
        </w:rPr>
        <w:t>đ</w:t>
      </w:r>
      <w:r w:rsidRPr="00190D72">
        <w:rPr>
          <w:bCs/>
          <w:lang w:val="vi-VN"/>
        </w:rPr>
        <w:t xml:space="preserve">iện thoại và linh kiện đạt </w:t>
      </w:r>
      <w:r w:rsidRPr="00190D72">
        <w:rPr>
          <w:bCs/>
        </w:rPr>
        <w:t>4</w:t>
      </w:r>
      <w:r w:rsidRPr="00190D72">
        <w:rPr>
          <w:bCs/>
          <w:lang w:val="vi-VN"/>
        </w:rPr>
        <w:t>,</w:t>
      </w:r>
      <w:r w:rsidRPr="00190D72">
        <w:rPr>
          <w:bCs/>
        </w:rPr>
        <w:t>4</w:t>
      </w:r>
      <w:r w:rsidRPr="00190D72">
        <w:rPr>
          <w:bCs/>
          <w:lang w:val="vi-VN"/>
        </w:rPr>
        <w:t xml:space="preserve"> tỷ USD, tăng </w:t>
      </w:r>
      <w:r w:rsidRPr="00190D72">
        <w:rPr>
          <w:bCs/>
        </w:rPr>
        <w:t>9</w:t>
      </w:r>
      <w:r w:rsidRPr="00190D72">
        <w:rPr>
          <w:bCs/>
          <w:lang w:val="vi-VN"/>
        </w:rPr>
        <w:t>,</w:t>
      </w:r>
      <w:r w:rsidRPr="00190D72">
        <w:rPr>
          <w:bCs/>
        </w:rPr>
        <w:t>8</w:t>
      </w:r>
      <w:r w:rsidRPr="00190D72">
        <w:rPr>
          <w:bCs/>
          <w:lang w:val="vi-VN"/>
        </w:rPr>
        <w:t xml:space="preserve">%; </w:t>
      </w:r>
      <w:r w:rsidRPr="00190D72">
        <w:rPr>
          <w:bCs/>
        </w:rPr>
        <w:t xml:space="preserve">vải đạt 3,7 tỷ USD, tăng 10%; xăng dầu đạt 2,8 tỷ USD, tăng 31,6%; </w:t>
      </w:r>
      <w:r w:rsidRPr="00190D72">
        <w:rPr>
          <w:bCs/>
          <w:lang w:val="vi-VN"/>
        </w:rPr>
        <w:t xml:space="preserve">chất dẻo đạt </w:t>
      </w:r>
      <w:r w:rsidRPr="00190D72">
        <w:rPr>
          <w:bCs/>
        </w:rPr>
        <w:t>2,8 tỷ</w:t>
      </w:r>
      <w:r w:rsidRPr="00190D72">
        <w:rPr>
          <w:bCs/>
          <w:lang w:val="vi-VN"/>
        </w:rPr>
        <w:t xml:space="preserve"> USD, tăng </w:t>
      </w:r>
      <w:r w:rsidRPr="00190D72">
        <w:rPr>
          <w:bCs/>
        </w:rPr>
        <w:t>22</w:t>
      </w:r>
      <w:r w:rsidRPr="00190D72">
        <w:rPr>
          <w:bCs/>
          <w:lang w:val="vi-VN"/>
        </w:rPr>
        <w:t>,</w:t>
      </w:r>
      <w:r w:rsidRPr="00190D72">
        <w:rPr>
          <w:bCs/>
        </w:rPr>
        <w:t>2</w:t>
      </w:r>
      <w:r w:rsidRPr="00190D72">
        <w:rPr>
          <w:bCs/>
          <w:lang w:val="vi-VN"/>
        </w:rPr>
        <w:t>%</w:t>
      </w:r>
      <w:r w:rsidRPr="00190D72">
        <w:rPr>
          <w:bCs/>
        </w:rPr>
        <w:t>; kim loại thường đạt 2,3 tỷ USD, tăng 33,7%; nguyên phụ liệu dệt, may, giày dép đạt 1,7 tỷ USD, tăng 1%; hóa chất đạt 1,6 tỷ USD, tăng 23,7%.</w:t>
      </w:r>
      <w:r w:rsidRPr="00190D72">
        <w:rPr>
          <w:bCs/>
          <w:lang w:val="vi-VN"/>
        </w:rPr>
        <w:t xml:space="preserve"> </w:t>
      </w:r>
    </w:p>
    <w:p w:rsidR="008C63DB" w:rsidRPr="00190D72" w:rsidRDefault="008C63DB" w:rsidP="00190D72">
      <w:pPr>
        <w:spacing w:before="40" w:after="40" w:line="288" w:lineRule="auto"/>
        <w:ind w:firstLine="562"/>
        <w:jc w:val="both"/>
      </w:pPr>
      <w:r w:rsidRPr="00190D72">
        <w:rPr>
          <w:bCs/>
          <w:lang w:val="vi-VN"/>
        </w:rPr>
        <w:t>Về thị trường</w:t>
      </w:r>
      <w:r w:rsidR="001B62F7" w:rsidRPr="00190D72">
        <w:rPr>
          <w:bCs/>
        </w:rPr>
        <w:t xml:space="preserve"> hàng hóa</w:t>
      </w:r>
      <w:r w:rsidRPr="00190D72">
        <w:rPr>
          <w:bCs/>
          <w:lang w:val="vi-VN"/>
        </w:rPr>
        <w:t xml:space="preserve"> nhập khẩu </w:t>
      </w:r>
      <w:r w:rsidRPr="00190D72">
        <w:rPr>
          <w:bCs/>
        </w:rPr>
        <w:t>4</w:t>
      </w:r>
      <w:r w:rsidRPr="00190D72">
        <w:rPr>
          <w:bCs/>
          <w:lang w:val="vi-VN"/>
        </w:rPr>
        <w:t xml:space="preserve"> tháng đầu năm, </w:t>
      </w:r>
      <w:r w:rsidRPr="00190D72">
        <w:rPr>
          <w:lang w:val="vi-VN"/>
        </w:rPr>
        <w:t xml:space="preserve">Trung Quốc vẫn là thị trường nhập khẩu lớn nhất của Việt Nam với kim ngạch đạt </w:t>
      </w:r>
      <w:r w:rsidRPr="00190D72">
        <w:t>18,1</w:t>
      </w:r>
      <w:r w:rsidRPr="00190D72">
        <w:rPr>
          <w:lang w:val="vi-VN"/>
        </w:rPr>
        <w:t xml:space="preserve"> tỷ USD, tăng </w:t>
      </w:r>
      <w:r w:rsidRPr="00190D72">
        <w:t>5</w:t>
      </w:r>
      <w:r w:rsidRPr="00190D72">
        <w:rPr>
          <w:lang w:val="vi-VN"/>
        </w:rPr>
        <w:t>,</w:t>
      </w:r>
      <w:r w:rsidRPr="00190D72">
        <w:t>8</w:t>
      </w:r>
      <w:r w:rsidRPr="00190D72">
        <w:rPr>
          <w:lang w:val="vi-VN"/>
        </w:rPr>
        <w:t>% so với cùng kỳ năm 201</w:t>
      </w:r>
      <w:r w:rsidRPr="00190D72">
        <w:t>7</w:t>
      </w:r>
      <w:r w:rsidR="001B62F7" w:rsidRPr="00190D72">
        <w:t xml:space="preserve">, trong đó </w:t>
      </w:r>
      <w:r w:rsidR="00FE2A5C" w:rsidRPr="00190D72">
        <w:t>đ</w:t>
      </w:r>
      <w:r w:rsidR="001B62F7" w:rsidRPr="00190D72">
        <w:t xml:space="preserve">iện thoại và linh kiện tăng </w:t>
      </w:r>
      <w:r w:rsidR="00FE2A5C" w:rsidRPr="00190D72">
        <w:t>19,8%; vải tăng 5,6%</w:t>
      </w:r>
      <w:r w:rsidRPr="00190D72">
        <w:rPr>
          <w:lang w:val="vi-VN"/>
        </w:rPr>
        <w:t xml:space="preserve">. Tiếp </w:t>
      </w:r>
      <w:r w:rsidR="00FE2A5C" w:rsidRPr="00190D72">
        <w:t>theo</w:t>
      </w:r>
      <w:r w:rsidRPr="00190D72">
        <w:rPr>
          <w:lang w:val="vi-VN"/>
        </w:rPr>
        <w:t xml:space="preserve"> là</w:t>
      </w:r>
      <w:r w:rsidR="00FE2A5C" w:rsidRPr="00190D72">
        <w:t xml:space="preserve"> thị trường</w:t>
      </w:r>
      <w:r w:rsidRPr="00190D72">
        <w:rPr>
          <w:lang w:val="vi-VN"/>
        </w:rPr>
        <w:t xml:space="preserve"> Hàn Quốc</w:t>
      </w:r>
      <w:r w:rsidR="00FE2A5C" w:rsidRPr="00190D72">
        <w:t xml:space="preserve"> với kim ngạch nhập khẩu</w:t>
      </w:r>
      <w:r w:rsidRPr="00190D72">
        <w:rPr>
          <w:lang w:val="vi-VN"/>
        </w:rPr>
        <w:t xml:space="preserve"> đạt </w:t>
      </w:r>
      <w:r w:rsidRPr="00190D72">
        <w:t>15,5</w:t>
      </w:r>
      <w:r w:rsidRPr="00190D72">
        <w:rPr>
          <w:lang w:val="vi-VN"/>
        </w:rPr>
        <w:t xml:space="preserve"> tỷ USD, tăng </w:t>
      </w:r>
      <w:r w:rsidRPr="00190D72">
        <w:t>7,6</w:t>
      </w:r>
      <w:r w:rsidRPr="00190D72">
        <w:rPr>
          <w:lang w:val="vi-VN"/>
        </w:rPr>
        <w:t>%</w:t>
      </w:r>
      <w:r w:rsidR="00FE2A5C" w:rsidRPr="00190D72">
        <w:t xml:space="preserve">, trong đó điện tử, máy tính và linh kiện tăng </w:t>
      </w:r>
      <w:r w:rsidR="00E304D8">
        <w:t>39</w:t>
      </w:r>
      <w:r w:rsidR="00FE2A5C" w:rsidRPr="00190D72">
        <w:t>,</w:t>
      </w:r>
      <w:r w:rsidR="00E304D8">
        <w:t>5</w:t>
      </w:r>
      <w:r w:rsidR="00FE2A5C" w:rsidRPr="00190D72">
        <w:t>%</w:t>
      </w:r>
      <w:r w:rsidRPr="00190D72">
        <w:rPr>
          <w:lang w:val="vi-VN"/>
        </w:rPr>
        <w:t>;</w:t>
      </w:r>
      <w:r w:rsidR="00FE2A5C" w:rsidRPr="00190D72">
        <w:t xml:space="preserve"> điện thoại và linh kiện tăng 13,7%.</w:t>
      </w:r>
      <w:r w:rsidRPr="00190D72">
        <w:rPr>
          <w:lang w:val="vi-VN"/>
        </w:rPr>
        <w:t xml:space="preserve"> ASEAN đạt </w:t>
      </w:r>
      <w:r w:rsidRPr="00190D72">
        <w:t>9</w:t>
      </w:r>
      <w:r w:rsidRPr="00190D72">
        <w:rPr>
          <w:lang w:val="vi-VN"/>
        </w:rPr>
        <w:t>,</w:t>
      </w:r>
      <w:r w:rsidRPr="00190D72">
        <w:t>9</w:t>
      </w:r>
      <w:r w:rsidRPr="00190D72">
        <w:rPr>
          <w:lang w:val="vi-VN"/>
        </w:rPr>
        <w:t xml:space="preserve"> tỷ USD, tăng 1</w:t>
      </w:r>
      <w:r w:rsidRPr="00190D72">
        <w:t>4,5</w:t>
      </w:r>
      <w:r w:rsidRPr="00190D72">
        <w:rPr>
          <w:lang w:val="vi-VN"/>
        </w:rPr>
        <w:t>%</w:t>
      </w:r>
      <w:r w:rsidR="00FE2A5C" w:rsidRPr="00190D72">
        <w:t>, trong đó máy móc thiết bị, dụng cụ phụ tùng tăng 22,9%</w:t>
      </w:r>
      <w:r w:rsidRPr="00190D72">
        <w:rPr>
          <w:lang w:val="vi-VN"/>
        </w:rPr>
        <w:t>;</w:t>
      </w:r>
      <w:r w:rsidR="00FE2A5C" w:rsidRPr="00190D72">
        <w:t xml:space="preserve"> điện tử, máy tính và linh kiện </w:t>
      </w:r>
      <w:r w:rsidR="00FE2A5C" w:rsidRPr="00190D72">
        <w:lastRenderedPageBreak/>
        <w:t>tăng 18,9%; xăng dầu tăng 17,8%.</w:t>
      </w:r>
      <w:r w:rsidRPr="00190D72">
        <w:rPr>
          <w:lang w:val="vi-VN"/>
        </w:rPr>
        <w:t xml:space="preserve"> Nhật Bản đạt </w:t>
      </w:r>
      <w:r w:rsidRPr="00190D72">
        <w:t>5,9</w:t>
      </w:r>
      <w:r w:rsidRPr="00190D72">
        <w:rPr>
          <w:lang w:val="vi-VN"/>
        </w:rPr>
        <w:t xml:space="preserve"> tỷ USD, </w:t>
      </w:r>
      <w:r w:rsidRPr="00190D72">
        <w:t>tăng</w:t>
      </w:r>
      <w:r w:rsidRPr="00190D72">
        <w:rPr>
          <w:lang w:val="vi-VN"/>
        </w:rPr>
        <w:t xml:space="preserve"> </w:t>
      </w:r>
      <w:r w:rsidRPr="00190D72">
        <w:t>16</w:t>
      </w:r>
      <w:r w:rsidRPr="00190D72">
        <w:rPr>
          <w:lang w:val="vi-VN"/>
        </w:rPr>
        <w:t>,</w:t>
      </w:r>
      <w:r w:rsidRPr="00190D72">
        <w:t>1</w:t>
      </w:r>
      <w:r w:rsidRPr="00190D72">
        <w:rPr>
          <w:lang w:val="vi-VN"/>
        </w:rPr>
        <w:t>%</w:t>
      </w:r>
      <w:r w:rsidR="00FE2A5C" w:rsidRPr="00190D72">
        <w:t>, trong đó linh kiện và phụ tùng ô tô tăng 36%; điện tử, máy tính và linh kiện tăng 33,8%.</w:t>
      </w:r>
      <w:r w:rsidRPr="00190D72">
        <w:rPr>
          <w:lang w:val="vi-VN"/>
        </w:rPr>
        <w:t xml:space="preserve"> EU đạt</w:t>
      </w:r>
      <w:r w:rsidRPr="00190D72">
        <w:t xml:space="preserve"> 4</w:t>
      </w:r>
      <w:r w:rsidRPr="00190D72">
        <w:rPr>
          <w:lang w:val="vi-VN"/>
        </w:rPr>
        <w:t xml:space="preserve"> tỷ USD, tăng </w:t>
      </w:r>
      <w:r w:rsidRPr="00190D72">
        <w:t>9</w:t>
      </w:r>
      <w:r w:rsidRPr="00190D72">
        <w:rPr>
          <w:lang w:val="vi-VN"/>
        </w:rPr>
        <w:t>,</w:t>
      </w:r>
      <w:r w:rsidRPr="00190D72">
        <w:t>7</w:t>
      </w:r>
      <w:r w:rsidRPr="00190D72">
        <w:rPr>
          <w:lang w:val="vi-VN"/>
        </w:rPr>
        <w:t>%</w:t>
      </w:r>
      <w:r w:rsidR="00FE2A5C" w:rsidRPr="00190D72">
        <w:t>, trong đó chất dẻo nguyên liệu tăng 41,9%</w:t>
      </w:r>
      <w:r w:rsidRPr="00190D72">
        <w:t>;</w:t>
      </w:r>
      <w:r w:rsidR="00FE2A5C" w:rsidRPr="00190D72">
        <w:t xml:space="preserve"> máy móc thiết bị, dụng cụ phụ tùng tăng 23,6</w:t>
      </w:r>
      <w:r w:rsidR="00FE2A5C" w:rsidRPr="00E304D8">
        <w:t>%.</w:t>
      </w:r>
      <w:r w:rsidRPr="00E304D8">
        <w:t xml:space="preserve"> </w:t>
      </w:r>
      <w:r w:rsidRPr="00E304D8">
        <w:rPr>
          <w:lang w:val="vi-VN"/>
        </w:rPr>
        <w:t xml:space="preserve">Hoa Kỳ đạt </w:t>
      </w:r>
      <w:r w:rsidRPr="00E304D8">
        <w:t>3</w:t>
      </w:r>
      <w:r w:rsidRPr="00E304D8">
        <w:rPr>
          <w:lang w:val="vi-VN"/>
        </w:rPr>
        <w:t>,</w:t>
      </w:r>
      <w:r w:rsidRPr="00E304D8">
        <w:t>6</w:t>
      </w:r>
      <w:r w:rsidRPr="00E304D8">
        <w:rPr>
          <w:lang w:val="vi-VN"/>
        </w:rPr>
        <w:t xml:space="preserve"> tỷ USD, </w:t>
      </w:r>
      <w:r w:rsidRPr="00E304D8">
        <w:t>tăng</w:t>
      </w:r>
      <w:r w:rsidR="00FE2A5C" w:rsidRPr="00E304D8">
        <w:t xml:space="preserve"> </w:t>
      </w:r>
      <w:r w:rsidRPr="00E304D8">
        <w:t>18</w:t>
      </w:r>
      <w:r w:rsidRPr="00E304D8">
        <w:rPr>
          <w:lang w:val="vi-VN"/>
        </w:rPr>
        <w:t>%</w:t>
      </w:r>
      <w:r w:rsidR="00FE2A5C" w:rsidRPr="00E304D8">
        <w:t>, trong đó</w:t>
      </w:r>
      <w:r w:rsidR="00E304D8" w:rsidRPr="00E304D8">
        <w:t xml:space="preserve"> thức ăn gia súc và NPL tăng 28,6%;</w:t>
      </w:r>
      <w:r w:rsidR="00FE2A5C" w:rsidRPr="00E304D8">
        <w:t xml:space="preserve"> điện tử, </w:t>
      </w:r>
      <w:r w:rsidR="00FE2A5C" w:rsidRPr="00E304D8">
        <w:rPr>
          <w:spacing w:val="-4"/>
        </w:rPr>
        <w:t>máy tính và linh kiện tăng</w:t>
      </w:r>
      <w:r w:rsidR="00A96F4F" w:rsidRPr="00E304D8">
        <w:rPr>
          <w:spacing w:val="-4"/>
        </w:rPr>
        <w:t xml:space="preserve"> 13,3%; máy móc thiết bị, dụng cụ phụ tùng tăng 7,3%</w:t>
      </w:r>
      <w:r w:rsidRPr="00E304D8">
        <w:rPr>
          <w:spacing w:val="-4"/>
        </w:rPr>
        <w:t>.</w:t>
      </w:r>
      <w:r w:rsidRPr="00190D72">
        <w:rPr>
          <w:lang w:val="vi-VN"/>
        </w:rPr>
        <w:t xml:space="preserve"> </w:t>
      </w:r>
    </w:p>
    <w:p w:rsidR="00300597" w:rsidRPr="00092690" w:rsidRDefault="008C63DB" w:rsidP="00952AE4">
      <w:pPr>
        <w:spacing w:before="40" w:after="40" w:line="283" w:lineRule="auto"/>
        <w:ind w:firstLine="567"/>
        <w:jc w:val="both"/>
        <w:rPr>
          <w:spacing w:val="-4"/>
          <w:lang w:val="vi-VN"/>
        </w:rPr>
      </w:pPr>
      <w:r w:rsidRPr="00092690">
        <w:rPr>
          <w:spacing w:val="-4"/>
          <w:lang w:val="vi-VN"/>
        </w:rPr>
        <w:t>Cán cân thương mại</w:t>
      </w:r>
      <w:r w:rsidR="00A96F4F" w:rsidRPr="00092690">
        <w:rPr>
          <w:spacing w:val="-4"/>
        </w:rPr>
        <w:t xml:space="preserve"> hàng hóa</w:t>
      </w:r>
      <w:r w:rsidRPr="00092690">
        <w:rPr>
          <w:spacing w:val="-4"/>
          <w:lang w:val="vi-VN"/>
        </w:rPr>
        <w:t xml:space="preserve"> thực hiện tháng </w:t>
      </w:r>
      <w:r w:rsidRPr="00092690">
        <w:rPr>
          <w:spacing w:val="-4"/>
        </w:rPr>
        <w:t>Ba</w:t>
      </w:r>
      <w:r w:rsidRPr="00092690">
        <w:rPr>
          <w:spacing w:val="-4"/>
          <w:lang w:val="vi-VN"/>
        </w:rPr>
        <w:t xml:space="preserve"> xuất siêu </w:t>
      </w:r>
      <w:r w:rsidRPr="00092690">
        <w:rPr>
          <w:spacing w:val="-4"/>
        </w:rPr>
        <w:t>2,26</w:t>
      </w:r>
      <w:r w:rsidRPr="00092690">
        <w:rPr>
          <w:spacing w:val="-4"/>
          <w:lang w:val="vi-VN"/>
        </w:rPr>
        <w:t xml:space="preserve"> </w:t>
      </w:r>
      <w:r w:rsidRPr="00092690">
        <w:rPr>
          <w:spacing w:val="-4"/>
        </w:rPr>
        <w:t>tỷ</w:t>
      </w:r>
      <w:r w:rsidRPr="00092690">
        <w:rPr>
          <w:spacing w:val="-4"/>
          <w:lang w:val="vi-VN"/>
        </w:rPr>
        <w:t xml:space="preserve"> USD</w:t>
      </w:r>
      <w:r w:rsidRPr="00183269">
        <w:rPr>
          <w:spacing w:val="-4"/>
          <w:vertAlign w:val="superscript"/>
          <w:lang w:val="vi-VN"/>
        </w:rPr>
        <w:footnoteReference w:id="9"/>
      </w:r>
      <w:r w:rsidRPr="00092690">
        <w:rPr>
          <w:spacing w:val="-4"/>
          <w:lang w:val="vi-VN"/>
        </w:rPr>
        <w:t xml:space="preserve">. Tháng </w:t>
      </w:r>
      <w:r w:rsidRPr="00092690">
        <w:rPr>
          <w:spacing w:val="-4"/>
        </w:rPr>
        <w:t>Tư</w:t>
      </w:r>
      <w:r w:rsidRPr="00092690">
        <w:rPr>
          <w:spacing w:val="-4"/>
          <w:lang w:val="vi-VN"/>
        </w:rPr>
        <w:t xml:space="preserve"> ước tính </w:t>
      </w:r>
      <w:r w:rsidRPr="00092690">
        <w:rPr>
          <w:spacing w:val="-4"/>
        </w:rPr>
        <w:t>tiếp tục xuất</w:t>
      </w:r>
      <w:r w:rsidRPr="00092690">
        <w:rPr>
          <w:spacing w:val="-4"/>
          <w:lang w:val="vi-VN"/>
        </w:rPr>
        <w:t xml:space="preserve"> siêu </w:t>
      </w:r>
      <w:r w:rsidRPr="00092690">
        <w:rPr>
          <w:spacing w:val="-4"/>
        </w:rPr>
        <w:t>700</w:t>
      </w:r>
      <w:r w:rsidRPr="00092690">
        <w:rPr>
          <w:spacing w:val="-4"/>
          <w:lang w:val="vi-VN"/>
        </w:rPr>
        <w:t xml:space="preserve"> t</w:t>
      </w:r>
      <w:r w:rsidRPr="00092690">
        <w:rPr>
          <w:spacing w:val="-4"/>
        </w:rPr>
        <w:t>riệu</w:t>
      </w:r>
      <w:r w:rsidRPr="00092690">
        <w:rPr>
          <w:spacing w:val="-4"/>
          <w:lang w:val="vi-VN"/>
        </w:rPr>
        <w:t xml:space="preserve"> USD</w:t>
      </w:r>
      <w:r w:rsidR="00A96F4F" w:rsidRPr="00092690">
        <w:rPr>
          <w:spacing w:val="-4"/>
        </w:rPr>
        <w:t xml:space="preserve">. Tính chung 4 tháng đầu năm </w:t>
      </w:r>
      <w:r w:rsidRPr="00092690">
        <w:rPr>
          <w:spacing w:val="-4"/>
          <w:lang w:val="en-GB"/>
        </w:rPr>
        <w:t>xuất siêu 3,39 tỷ USD</w:t>
      </w:r>
      <w:r w:rsidR="00663280" w:rsidRPr="00183269">
        <w:rPr>
          <w:rStyle w:val="FootnoteReference"/>
          <w:spacing w:val="-4"/>
          <w:lang w:val="en-GB"/>
        </w:rPr>
        <w:footnoteReference w:id="10"/>
      </w:r>
      <w:r w:rsidRPr="00092690">
        <w:rPr>
          <w:spacing w:val="-4"/>
          <w:lang w:val="vi-VN"/>
        </w:rPr>
        <w:t xml:space="preserve">, trong đó khu vực kinh tế trong nước nhập siêu </w:t>
      </w:r>
      <w:r w:rsidRPr="00092690">
        <w:rPr>
          <w:spacing w:val="-4"/>
        </w:rPr>
        <w:t>7</w:t>
      </w:r>
      <w:r w:rsidRPr="00092690">
        <w:rPr>
          <w:spacing w:val="-4"/>
          <w:lang w:val="vi-VN"/>
        </w:rPr>
        <w:t>,</w:t>
      </w:r>
      <w:r w:rsidRPr="00092690">
        <w:rPr>
          <w:spacing w:val="-4"/>
        </w:rPr>
        <w:t>78</w:t>
      </w:r>
      <w:r w:rsidRPr="00092690">
        <w:rPr>
          <w:spacing w:val="-4"/>
          <w:lang w:val="vi-VN"/>
        </w:rPr>
        <w:t xml:space="preserve"> tỷ USD; khu vực có vốn đầu tư nước ngoài (kể cả dầu thô) xuất siêu </w:t>
      </w:r>
      <w:r w:rsidRPr="00092690">
        <w:rPr>
          <w:spacing w:val="-4"/>
        </w:rPr>
        <w:t>11,17</w:t>
      </w:r>
      <w:r w:rsidRPr="00092690">
        <w:rPr>
          <w:spacing w:val="-4"/>
          <w:lang w:val="vi-VN"/>
        </w:rPr>
        <w:t xml:space="preserve"> t</w:t>
      </w:r>
      <w:r w:rsidRPr="00092690">
        <w:rPr>
          <w:spacing w:val="-4"/>
        </w:rPr>
        <w:t>ỷ</w:t>
      </w:r>
      <w:r w:rsidRPr="00092690">
        <w:rPr>
          <w:spacing w:val="-4"/>
          <w:lang w:val="vi-VN"/>
        </w:rPr>
        <w:t xml:space="preserve"> USD.</w:t>
      </w:r>
    </w:p>
    <w:p w:rsidR="00132AB4" w:rsidRPr="00190D72" w:rsidRDefault="00F9065D" w:rsidP="00952AE4">
      <w:pPr>
        <w:spacing w:before="40" w:after="40" w:line="283" w:lineRule="auto"/>
        <w:ind w:firstLine="567"/>
        <w:jc w:val="both"/>
        <w:rPr>
          <w:b/>
          <w:bCs/>
          <w:i/>
          <w:iCs/>
        </w:rPr>
      </w:pPr>
      <w:r w:rsidRPr="00190D72">
        <w:rPr>
          <w:b/>
          <w:bCs/>
          <w:i/>
          <w:iCs/>
        </w:rPr>
        <w:t xml:space="preserve">c. </w:t>
      </w:r>
      <w:r w:rsidRPr="00190D72">
        <w:rPr>
          <w:b/>
          <w:bCs/>
          <w:i/>
          <w:iCs/>
          <w:lang w:val="vi-VN"/>
        </w:rPr>
        <w:t>Chỉ số giá tiêu dùng</w:t>
      </w:r>
      <w:r w:rsidRPr="00190D72">
        <w:rPr>
          <w:b/>
          <w:bCs/>
          <w:i/>
          <w:iCs/>
        </w:rPr>
        <w:t>, chỉ số giá vàng và chỉ số giá đô la Mỹ</w:t>
      </w:r>
    </w:p>
    <w:p w:rsidR="0072454A" w:rsidRPr="00190D72" w:rsidRDefault="0072454A" w:rsidP="00952AE4">
      <w:pPr>
        <w:pStyle w:val="NormalWeb"/>
        <w:spacing w:before="40" w:beforeAutospacing="0" w:after="40" w:afterAutospacing="0" w:line="283" w:lineRule="auto"/>
        <w:ind w:firstLine="562"/>
        <w:jc w:val="both"/>
        <w:rPr>
          <w:color w:val="000000"/>
          <w:sz w:val="28"/>
          <w:szCs w:val="28"/>
        </w:rPr>
      </w:pPr>
      <w:r w:rsidRPr="00190D72">
        <w:rPr>
          <w:rStyle w:val="normalchar"/>
          <w:sz w:val="28"/>
          <w:szCs w:val="28"/>
          <w:lang w:val="nl-NL"/>
        </w:rPr>
        <w:t>Chỉ số giá tiêu dùng (CPI) tháng 4/2018 tăng 0,08% so với tháng trước, trong đó 6/11 nhóm hàng hóa và dịch vụ có chỉ số giá tăng. Nhóm giao thông có mức tăng cao nhất 1,18%</w:t>
      </w:r>
      <w:r w:rsidR="00671511" w:rsidRPr="00190D72">
        <w:rPr>
          <w:rStyle w:val="normalchar"/>
          <w:sz w:val="28"/>
          <w:szCs w:val="28"/>
          <w:lang w:val="nl-NL"/>
        </w:rPr>
        <w:t>, chủ yếu</w:t>
      </w:r>
      <w:r w:rsidRPr="00190D72">
        <w:rPr>
          <w:rStyle w:val="normalchar"/>
          <w:sz w:val="28"/>
          <w:szCs w:val="28"/>
          <w:lang w:val="nl-NL"/>
        </w:rPr>
        <w:t xml:space="preserve"> do ảnh hưởng từ 2 đợt điều chỉnh tăng giá xăng, dầu vào thời điểm 7/4/2018 và thời điểm 23/4/2018 </w:t>
      </w:r>
      <w:r w:rsidR="00671511" w:rsidRPr="00190D72">
        <w:rPr>
          <w:rStyle w:val="normalchar"/>
          <w:sz w:val="28"/>
          <w:szCs w:val="28"/>
          <w:lang w:val="nl-NL"/>
        </w:rPr>
        <w:t>(</w:t>
      </w:r>
      <w:r w:rsidRPr="00190D72">
        <w:rPr>
          <w:rStyle w:val="normalchar"/>
          <w:sz w:val="28"/>
          <w:szCs w:val="28"/>
          <w:lang w:val="nl-NL"/>
        </w:rPr>
        <w:t>tác động làm CPI chung tăng 0,11%</w:t>
      </w:r>
      <w:r w:rsidR="00671511" w:rsidRPr="00190D72">
        <w:rPr>
          <w:rStyle w:val="normalchar"/>
          <w:sz w:val="28"/>
          <w:szCs w:val="28"/>
          <w:lang w:val="nl-NL"/>
        </w:rPr>
        <w:t>)</w:t>
      </w:r>
      <w:r w:rsidRPr="00190D72">
        <w:rPr>
          <w:rStyle w:val="normalchar"/>
          <w:sz w:val="28"/>
          <w:szCs w:val="28"/>
          <w:lang w:val="nl-NL"/>
        </w:rPr>
        <w:t>. Nhóm n</w:t>
      </w:r>
      <w:r w:rsidRPr="00190D72">
        <w:rPr>
          <w:color w:val="000000"/>
          <w:sz w:val="28"/>
          <w:szCs w:val="28"/>
        </w:rPr>
        <w:t>hà ở và vật liệu xây dựng tăng 0,18% do giá vật liệu bảo dưỡng nhà ở và giá điện, nước sinh hoạt tăng.</w:t>
      </w:r>
      <w:r w:rsidR="00671511" w:rsidRPr="00190D72">
        <w:rPr>
          <w:color w:val="000000"/>
          <w:sz w:val="28"/>
          <w:szCs w:val="28"/>
        </w:rPr>
        <w:t xml:space="preserve"> Nhóm</w:t>
      </w:r>
      <w:r w:rsidRPr="00190D72">
        <w:rPr>
          <w:color w:val="000000"/>
          <w:sz w:val="28"/>
          <w:szCs w:val="28"/>
        </w:rPr>
        <w:t xml:space="preserve"> </w:t>
      </w:r>
      <w:r w:rsidR="00671511" w:rsidRPr="00190D72">
        <w:rPr>
          <w:color w:val="000000"/>
          <w:sz w:val="28"/>
          <w:szCs w:val="28"/>
        </w:rPr>
        <w:t>t</w:t>
      </w:r>
      <w:r w:rsidRPr="00190D72">
        <w:rPr>
          <w:color w:val="000000"/>
          <w:sz w:val="28"/>
          <w:szCs w:val="28"/>
        </w:rPr>
        <w:t xml:space="preserve">hiết bị và đồ dùng gia đình tăng 0,09%; </w:t>
      </w:r>
      <w:r w:rsidR="00671511" w:rsidRPr="00190D72">
        <w:rPr>
          <w:color w:val="000000"/>
          <w:sz w:val="28"/>
          <w:szCs w:val="28"/>
        </w:rPr>
        <w:t>v</w:t>
      </w:r>
      <w:r w:rsidRPr="00190D72">
        <w:rPr>
          <w:color w:val="000000"/>
          <w:sz w:val="28"/>
          <w:szCs w:val="28"/>
        </w:rPr>
        <w:t xml:space="preserve">ăn hóa, giải trí và du lịch tăng 0,08%; </w:t>
      </w:r>
      <w:r w:rsidR="00671511" w:rsidRPr="00190D72">
        <w:rPr>
          <w:color w:val="000000"/>
          <w:sz w:val="28"/>
          <w:szCs w:val="28"/>
        </w:rPr>
        <w:t>g</w:t>
      </w:r>
      <w:r w:rsidRPr="00190D72">
        <w:rPr>
          <w:color w:val="000000"/>
          <w:sz w:val="28"/>
          <w:szCs w:val="28"/>
        </w:rPr>
        <w:t xml:space="preserve">iáo dục tăng 0,06% (dịch vụ giáo dục tăng 0,05%); </w:t>
      </w:r>
      <w:r w:rsidR="00671511" w:rsidRPr="00190D72">
        <w:rPr>
          <w:color w:val="000000"/>
          <w:sz w:val="28"/>
          <w:szCs w:val="28"/>
        </w:rPr>
        <w:t>t</w:t>
      </w:r>
      <w:r w:rsidRPr="00190D72">
        <w:rPr>
          <w:color w:val="000000"/>
          <w:sz w:val="28"/>
          <w:szCs w:val="28"/>
        </w:rPr>
        <w:t>huốc và dịch vụ y tế tăng 0,02</w:t>
      </w:r>
      <w:r w:rsidRPr="00190D72">
        <w:rPr>
          <w:color w:val="000000"/>
          <w:sz w:val="28"/>
          <w:szCs w:val="28"/>
          <w:lang w:val="vi-VN"/>
        </w:rPr>
        <w:t>%</w:t>
      </w:r>
      <w:r w:rsidRPr="00190D72">
        <w:rPr>
          <w:color w:val="000000"/>
          <w:sz w:val="28"/>
          <w:szCs w:val="28"/>
        </w:rPr>
        <w:t xml:space="preserve"> (dịch vụ y tế không đổi). Các nhóm hàng hóa và dịch vụ còn lại có chỉ số giá giảm hoặc không đổi: Hàng ăn và dịch vụ ăn uống giảm 0,18%</w:t>
      </w:r>
      <w:r w:rsidR="00375519" w:rsidRPr="00190D72">
        <w:rPr>
          <w:color w:val="000000"/>
          <w:sz w:val="28"/>
          <w:szCs w:val="28"/>
        </w:rPr>
        <w:t xml:space="preserve">, trong đó </w:t>
      </w:r>
      <w:r w:rsidRPr="00190D72">
        <w:rPr>
          <w:color w:val="000000"/>
          <w:sz w:val="28"/>
          <w:szCs w:val="28"/>
        </w:rPr>
        <w:t>lương thực tăng 0,12%</w:t>
      </w:r>
      <w:r w:rsidR="00375519" w:rsidRPr="00190D72">
        <w:rPr>
          <w:color w:val="000000"/>
          <w:sz w:val="28"/>
          <w:szCs w:val="28"/>
        </w:rPr>
        <w:t xml:space="preserve"> chủ yếu do giá gạo xuất khẩu tăng</w:t>
      </w:r>
      <w:r w:rsidRPr="00190D72">
        <w:rPr>
          <w:color w:val="000000"/>
          <w:sz w:val="28"/>
          <w:szCs w:val="28"/>
        </w:rPr>
        <w:t>; thực phẩm giảm 0,33% do giá hầu hết các mặt hàng</w:t>
      </w:r>
      <w:r w:rsidR="00BE4E3E" w:rsidRPr="00190D72">
        <w:rPr>
          <w:color w:val="000000"/>
          <w:sz w:val="28"/>
          <w:szCs w:val="28"/>
        </w:rPr>
        <w:t xml:space="preserve"> trong nhóm</w:t>
      </w:r>
      <w:r w:rsidR="00375519" w:rsidRPr="00190D72">
        <w:rPr>
          <w:color w:val="000000"/>
          <w:sz w:val="28"/>
          <w:szCs w:val="28"/>
        </w:rPr>
        <w:t xml:space="preserve"> giảm</w:t>
      </w:r>
      <w:r w:rsidRPr="00190D72">
        <w:rPr>
          <w:color w:val="000000"/>
          <w:sz w:val="28"/>
          <w:szCs w:val="28"/>
        </w:rPr>
        <w:t xml:space="preserve"> (</w:t>
      </w:r>
      <w:r w:rsidR="00375519" w:rsidRPr="00190D72">
        <w:rPr>
          <w:color w:val="000000"/>
          <w:sz w:val="28"/>
          <w:szCs w:val="28"/>
        </w:rPr>
        <w:t xml:space="preserve">riêng </w:t>
      </w:r>
      <w:r w:rsidRPr="00190D72">
        <w:rPr>
          <w:color w:val="000000"/>
          <w:sz w:val="28"/>
          <w:szCs w:val="28"/>
        </w:rPr>
        <w:t>giá thịt lợn</w:t>
      </w:r>
      <w:r w:rsidR="00375519" w:rsidRPr="00190D72">
        <w:rPr>
          <w:color w:val="000000"/>
          <w:sz w:val="28"/>
          <w:szCs w:val="28"/>
        </w:rPr>
        <w:t xml:space="preserve"> tăng 1,25%</w:t>
      </w:r>
      <w:r w:rsidRPr="00190D72">
        <w:rPr>
          <w:color w:val="000000"/>
          <w:sz w:val="28"/>
          <w:szCs w:val="28"/>
        </w:rPr>
        <w:t>)</w:t>
      </w:r>
      <w:r w:rsidR="00375519" w:rsidRPr="00190D72">
        <w:rPr>
          <w:color w:val="000000"/>
          <w:sz w:val="28"/>
          <w:szCs w:val="28"/>
        </w:rPr>
        <w:t>.</w:t>
      </w:r>
      <w:r w:rsidRPr="00190D72">
        <w:rPr>
          <w:color w:val="000000"/>
          <w:sz w:val="28"/>
          <w:szCs w:val="28"/>
        </w:rPr>
        <w:t xml:space="preserve"> </w:t>
      </w:r>
      <w:r w:rsidR="00375519" w:rsidRPr="00190D72">
        <w:rPr>
          <w:color w:val="000000"/>
          <w:sz w:val="28"/>
          <w:szCs w:val="28"/>
        </w:rPr>
        <w:t xml:space="preserve">Nhóm </w:t>
      </w:r>
      <w:r w:rsidRPr="00190D72">
        <w:rPr>
          <w:color w:val="000000"/>
          <w:sz w:val="28"/>
          <w:szCs w:val="28"/>
        </w:rPr>
        <w:t>bưu chính viễn thông giảm 0,08%; may mặc, mũ nón, gi</w:t>
      </w:r>
      <w:r w:rsidR="00375519" w:rsidRPr="00190D72">
        <w:rPr>
          <w:color w:val="000000"/>
          <w:sz w:val="28"/>
          <w:szCs w:val="28"/>
        </w:rPr>
        <w:t>à</w:t>
      </w:r>
      <w:r w:rsidRPr="00190D72">
        <w:rPr>
          <w:color w:val="000000"/>
          <w:sz w:val="28"/>
          <w:szCs w:val="28"/>
        </w:rPr>
        <w:t xml:space="preserve">y dép giảm 0,01%; hàng hóa và dịch vụ khác giảm 0,02%; đồ uống và thuốc lá không đổi. </w:t>
      </w:r>
    </w:p>
    <w:p w:rsidR="0072454A" w:rsidRPr="00190D72" w:rsidRDefault="0072454A" w:rsidP="00952AE4">
      <w:pPr>
        <w:spacing w:before="40" w:after="40" w:line="283" w:lineRule="auto"/>
        <w:ind w:firstLine="562"/>
        <w:jc w:val="both"/>
        <w:rPr>
          <w:rStyle w:val="normalchar"/>
          <w:color w:val="000000"/>
          <w:lang w:val="nl-NL"/>
        </w:rPr>
      </w:pPr>
      <w:r w:rsidRPr="00190D72">
        <w:rPr>
          <w:rStyle w:val="normalchar"/>
          <w:lang w:val="nl-NL"/>
        </w:rPr>
        <w:t>Chỉ số giá tiêu dùng bình quân 4 tháng đầu năm 2018 tăng 2,8</w:t>
      </w:r>
      <w:r w:rsidR="008C134B" w:rsidRPr="00190D72">
        <w:rPr>
          <w:rStyle w:val="normalchar"/>
          <w:lang w:val="nl-NL"/>
        </w:rPr>
        <w:t>0</w:t>
      </w:r>
      <w:r w:rsidRPr="00190D72">
        <w:rPr>
          <w:rStyle w:val="normalchar"/>
          <w:lang w:val="nl-NL"/>
        </w:rPr>
        <w:t xml:space="preserve">% so với bình quân </w:t>
      </w:r>
      <w:r w:rsidRPr="00190D72">
        <w:rPr>
          <w:rStyle w:val="normalchar"/>
          <w:color w:val="000000"/>
          <w:lang w:val="nl-NL"/>
        </w:rPr>
        <w:t>cùng kỳ năm 2017. C</w:t>
      </w:r>
      <w:r w:rsidR="00B3061B" w:rsidRPr="00190D72">
        <w:rPr>
          <w:rStyle w:val="normalchar"/>
          <w:color w:val="000000"/>
          <w:lang w:val="nl-NL"/>
        </w:rPr>
        <w:t>PI</w:t>
      </w:r>
      <w:r w:rsidRPr="00190D72">
        <w:rPr>
          <w:rStyle w:val="normalchar"/>
          <w:color w:val="000000"/>
          <w:lang w:val="nl-NL"/>
        </w:rPr>
        <w:t xml:space="preserve"> tháng 4/2018 tăng 1,05% so với tháng 12/2017</w:t>
      </w:r>
      <w:r w:rsidR="00375519" w:rsidRPr="00190D72">
        <w:rPr>
          <w:rStyle w:val="normalchar"/>
          <w:color w:val="000000"/>
          <w:lang w:val="nl-NL"/>
        </w:rPr>
        <w:t xml:space="preserve"> </w:t>
      </w:r>
      <w:r w:rsidRPr="00190D72">
        <w:rPr>
          <w:rStyle w:val="normalchar"/>
          <w:color w:val="000000"/>
          <w:lang w:val="nl-NL"/>
        </w:rPr>
        <w:t xml:space="preserve">và tăng 2,75% so với cùng kỳ năm trước. </w:t>
      </w:r>
    </w:p>
    <w:p w:rsidR="0072454A" w:rsidRPr="00190D72" w:rsidRDefault="0072454A" w:rsidP="00952AE4">
      <w:pPr>
        <w:spacing w:before="40" w:after="40" w:line="283" w:lineRule="auto"/>
        <w:ind w:firstLine="567"/>
        <w:jc w:val="both"/>
        <w:rPr>
          <w:rStyle w:val="normalchar"/>
          <w:color w:val="000000"/>
          <w:lang w:val="nl-NL"/>
        </w:rPr>
      </w:pPr>
      <w:r w:rsidRPr="00190D72">
        <w:rPr>
          <w:rStyle w:val="normalchar"/>
          <w:color w:val="000000"/>
          <w:lang w:val="nl-NL"/>
        </w:rPr>
        <w:t xml:space="preserve">Lạm phát cơ bản tháng 4/2018 tăng 0,05% so với tháng trước và tăng 1,33% so với cùng kỳ năm trước. Lạm phát cơ bản bình quân 4 tháng đầu năm </w:t>
      </w:r>
      <w:r w:rsidR="00B3061B" w:rsidRPr="00190D72">
        <w:rPr>
          <w:rStyle w:val="normalchar"/>
          <w:color w:val="000000"/>
          <w:lang w:val="nl-NL"/>
        </w:rPr>
        <w:t>nay</w:t>
      </w:r>
      <w:r w:rsidRPr="00190D72">
        <w:rPr>
          <w:rStyle w:val="normalchar"/>
          <w:color w:val="000000"/>
          <w:lang w:val="nl-NL"/>
        </w:rPr>
        <w:t xml:space="preserve"> tăng 1,34% so với bình quân cùng kỳ năm 2017.</w:t>
      </w:r>
    </w:p>
    <w:p w:rsidR="0072454A" w:rsidRPr="00190D72" w:rsidRDefault="0072454A" w:rsidP="00952AE4">
      <w:pPr>
        <w:spacing w:before="40" w:after="40" w:line="283" w:lineRule="auto"/>
        <w:ind w:firstLine="567"/>
        <w:jc w:val="both"/>
      </w:pPr>
      <w:r w:rsidRPr="00190D72">
        <w:rPr>
          <w:rStyle w:val="normalchar"/>
          <w:color w:val="000000"/>
          <w:lang w:val="nl-NL"/>
        </w:rPr>
        <w:t xml:space="preserve">Chỉ số giá vàng tháng 4/2018 tăng 0,47% so với tháng trước; tăng 3,67% so với tháng 12/2017 và tăng 5,41% so với cùng kỳ năm </w:t>
      </w:r>
      <w:r w:rsidR="00813E8E" w:rsidRPr="00190D72">
        <w:rPr>
          <w:rStyle w:val="normalchar"/>
          <w:color w:val="000000"/>
          <w:lang w:val="nl-NL"/>
        </w:rPr>
        <w:t>2017</w:t>
      </w:r>
      <w:r w:rsidRPr="00190D72">
        <w:rPr>
          <w:rStyle w:val="normalchar"/>
          <w:color w:val="000000"/>
          <w:lang w:val="nl-NL"/>
        </w:rPr>
        <w:t>. Chỉ số giá đô la Mỹ tháng 4/2018 tăng 0,1</w:t>
      </w:r>
      <w:r w:rsidR="008C134B" w:rsidRPr="00190D72">
        <w:rPr>
          <w:rStyle w:val="normalchar"/>
          <w:color w:val="000000"/>
          <w:lang w:val="nl-NL"/>
        </w:rPr>
        <w:t>0</w:t>
      </w:r>
      <w:r w:rsidRPr="00190D72">
        <w:rPr>
          <w:rStyle w:val="normalchar"/>
          <w:color w:val="000000"/>
          <w:lang w:val="nl-NL"/>
        </w:rPr>
        <w:t>% so với tháng trước; tăng 0,32% so với tháng 12/2017 và tăng 0,29% so với cùng kỳ năm 2017.</w:t>
      </w:r>
    </w:p>
    <w:p w:rsidR="00EA7AD2" w:rsidRPr="00190D72" w:rsidRDefault="003A35EA" w:rsidP="00092690">
      <w:pPr>
        <w:tabs>
          <w:tab w:val="left" w:pos="5244"/>
        </w:tabs>
        <w:spacing w:before="40" w:after="40" w:line="278" w:lineRule="auto"/>
        <w:ind w:firstLine="567"/>
        <w:jc w:val="both"/>
        <w:rPr>
          <w:b/>
          <w:bCs/>
          <w:i/>
          <w:iCs/>
          <w:lang w:val="fr-FR"/>
        </w:rPr>
      </w:pPr>
      <w:r w:rsidRPr="00190D72">
        <w:rPr>
          <w:b/>
          <w:bCs/>
          <w:i/>
          <w:iCs/>
          <w:lang w:val="fr-FR"/>
        </w:rPr>
        <w:lastRenderedPageBreak/>
        <w:t>d. Vận tải hành khách và hàng hóa</w:t>
      </w:r>
    </w:p>
    <w:p w:rsidR="008C63DB" w:rsidRPr="00092690" w:rsidRDefault="008C63DB" w:rsidP="00083379">
      <w:pPr>
        <w:spacing w:before="40" w:after="40" w:line="274" w:lineRule="auto"/>
        <w:ind w:firstLine="567"/>
        <w:jc w:val="both"/>
        <w:rPr>
          <w:color w:val="000000"/>
          <w:spacing w:val="-2"/>
        </w:rPr>
      </w:pPr>
      <w:r w:rsidRPr="00092690">
        <w:rPr>
          <w:spacing w:val="-2"/>
        </w:rPr>
        <w:t>Vận tải hành khách tháng Tư ước tính đạt 376 triệu lượt khách, tăng 1</w:t>
      </w:r>
      <w:r w:rsidRPr="00092690">
        <w:rPr>
          <w:color w:val="000000"/>
          <w:spacing w:val="-2"/>
        </w:rPr>
        <w:t>,5</w:t>
      </w:r>
      <w:r w:rsidRPr="00092690">
        <w:rPr>
          <w:spacing w:val="-2"/>
        </w:rPr>
        <w:t>% so với tháng trước và 16,6 tỷ lượt khách.km, tăng 1</w:t>
      </w:r>
      <w:r w:rsidRPr="00092690">
        <w:rPr>
          <w:color w:val="000000"/>
          <w:spacing w:val="-2"/>
        </w:rPr>
        <w:t>,8</w:t>
      </w:r>
      <w:r w:rsidRPr="00092690">
        <w:rPr>
          <w:spacing w:val="-2"/>
        </w:rPr>
        <w:t>%. Tính chung 4 tháng đầu năm, v</w:t>
      </w:r>
      <w:r w:rsidRPr="00092690">
        <w:rPr>
          <w:spacing w:val="-2"/>
          <w:lang w:val="vi-VN"/>
        </w:rPr>
        <w:t xml:space="preserve">ận tải hành khách đạt </w:t>
      </w:r>
      <w:r w:rsidRPr="00092690">
        <w:rPr>
          <w:spacing w:val="-2"/>
        </w:rPr>
        <w:t>1.492,1</w:t>
      </w:r>
      <w:r w:rsidRPr="00092690">
        <w:rPr>
          <w:spacing w:val="-2"/>
          <w:lang w:val="vi-VN"/>
        </w:rPr>
        <w:t xml:space="preserve"> triệu lượt khách, tăng </w:t>
      </w:r>
      <w:r w:rsidRPr="00092690">
        <w:rPr>
          <w:spacing w:val="-2"/>
        </w:rPr>
        <w:t>10,1</w:t>
      </w:r>
      <w:r w:rsidRPr="00092690">
        <w:rPr>
          <w:spacing w:val="-2"/>
          <w:lang w:val="vi-VN"/>
        </w:rPr>
        <w:t xml:space="preserve">% so với cùng kỳ năm trước và </w:t>
      </w:r>
      <w:r w:rsidRPr="00092690">
        <w:rPr>
          <w:spacing w:val="-2"/>
        </w:rPr>
        <w:t>65</w:t>
      </w:r>
      <w:r w:rsidRPr="00092690">
        <w:rPr>
          <w:spacing w:val="-2"/>
          <w:lang w:val="vi-VN"/>
        </w:rPr>
        <w:t>,</w:t>
      </w:r>
      <w:r w:rsidRPr="00092690">
        <w:rPr>
          <w:spacing w:val="-2"/>
        </w:rPr>
        <w:t>7</w:t>
      </w:r>
      <w:r w:rsidRPr="00092690">
        <w:rPr>
          <w:spacing w:val="-2"/>
          <w:lang w:val="vi-VN"/>
        </w:rPr>
        <w:t xml:space="preserve"> tỷ lượt khách.km, tăng </w:t>
      </w:r>
      <w:r w:rsidRPr="00092690">
        <w:rPr>
          <w:spacing w:val="-2"/>
        </w:rPr>
        <w:t>10,7</w:t>
      </w:r>
      <w:r w:rsidRPr="00092690">
        <w:rPr>
          <w:spacing w:val="-2"/>
          <w:lang w:val="vi-VN"/>
        </w:rPr>
        <w:t xml:space="preserve">%, trong đó vận tải hành khách đường bộ đạt </w:t>
      </w:r>
      <w:r w:rsidRPr="00092690">
        <w:rPr>
          <w:spacing w:val="-2"/>
        </w:rPr>
        <w:t>1.408,1</w:t>
      </w:r>
      <w:r w:rsidRPr="00092690">
        <w:rPr>
          <w:spacing w:val="-2"/>
          <w:lang w:val="vi-VN"/>
        </w:rPr>
        <w:t xml:space="preserve"> triệu lượt khách, tăng </w:t>
      </w:r>
      <w:r w:rsidRPr="00092690">
        <w:rPr>
          <w:spacing w:val="-2"/>
        </w:rPr>
        <w:t>10,3</w:t>
      </w:r>
      <w:r w:rsidRPr="00092690">
        <w:rPr>
          <w:spacing w:val="-2"/>
          <w:lang w:val="vi-VN"/>
        </w:rPr>
        <w:t xml:space="preserve">% và </w:t>
      </w:r>
      <w:r w:rsidRPr="00092690">
        <w:rPr>
          <w:spacing w:val="-2"/>
        </w:rPr>
        <w:t>45</w:t>
      </w:r>
      <w:r w:rsidRPr="00092690">
        <w:rPr>
          <w:spacing w:val="-2"/>
          <w:lang w:val="vi-VN"/>
        </w:rPr>
        <w:t>,</w:t>
      </w:r>
      <w:r w:rsidRPr="00092690">
        <w:rPr>
          <w:spacing w:val="-2"/>
        </w:rPr>
        <w:t>8</w:t>
      </w:r>
      <w:r w:rsidRPr="00092690">
        <w:rPr>
          <w:spacing w:val="-2"/>
          <w:lang w:val="vi-VN"/>
        </w:rPr>
        <w:t xml:space="preserve"> tỷ lượt khách.km, tăng </w:t>
      </w:r>
      <w:r w:rsidRPr="00092690">
        <w:rPr>
          <w:spacing w:val="-2"/>
        </w:rPr>
        <w:t>10,9</w:t>
      </w:r>
      <w:r w:rsidRPr="00092690">
        <w:rPr>
          <w:spacing w:val="-2"/>
          <w:lang w:val="vi-VN"/>
        </w:rPr>
        <w:t>%;</w:t>
      </w:r>
      <w:r w:rsidRPr="00092690">
        <w:rPr>
          <w:spacing w:val="-2"/>
        </w:rPr>
        <w:t xml:space="preserve"> đường thủy nội địa đạt 62,8 triệu lượt khách, tăng 5,8% và 1,2</w:t>
      </w:r>
      <w:r w:rsidRPr="00092690">
        <w:rPr>
          <w:spacing w:val="-2"/>
          <w:lang w:val="vi-VN"/>
        </w:rPr>
        <w:t xml:space="preserve"> tỷ lượt khách.km, tăng</w:t>
      </w:r>
      <w:r w:rsidRPr="00092690">
        <w:rPr>
          <w:spacing w:val="-2"/>
        </w:rPr>
        <w:t xml:space="preserve"> 6%; </w:t>
      </w:r>
      <w:r w:rsidRPr="00092690">
        <w:rPr>
          <w:spacing w:val="-2"/>
          <w:lang w:val="vi-VN"/>
        </w:rPr>
        <w:t xml:space="preserve">đường biển đạt </w:t>
      </w:r>
      <w:r w:rsidRPr="00092690">
        <w:rPr>
          <w:spacing w:val="-2"/>
        </w:rPr>
        <w:t>2,4</w:t>
      </w:r>
      <w:r w:rsidRPr="00092690">
        <w:rPr>
          <w:spacing w:val="-2"/>
          <w:lang w:val="vi-VN"/>
        </w:rPr>
        <w:t xml:space="preserve"> triệu lượt khách, tăng </w:t>
      </w:r>
      <w:r w:rsidRPr="00092690">
        <w:rPr>
          <w:spacing w:val="-2"/>
        </w:rPr>
        <w:t>6</w:t>
      </w:r>
      <w:r w:rsidRPr="00092690">
        <w:rPr>
          <w:spacing w:val="-2"/>
          <w:lang w:val="vi-VN"/>
        </w:rPr>
        <w:t>,</w:t>
      </w:r>
      <w:r w:rsidRPr="00092690">
        <w:rPr>
          <w:spacing w:val="-2"/>
        </w:rPr>
        <w:t>6</w:t>
      </w:r>
      <w:r w:rsidRPr="00092690">
        <w:rPr>
          <w:spacing w:val="-2"/>
          <w:lang w:val="vi-VN"/>
        </w:rPr>
        <w:t xml:space="preserve">% và </w:t>
      </w:r>
      <w:r w:rsidRPr="00092690">
        <w:rPr>
          <w:spacing w:val="-2"/>
        </w:rPr>
        <w:t>142,5</w:t>
      </w:r>
      <w:r w:rsidRPr="00092690">
        <w:rPr>
          <w:spacing w:val="-2"/>
          <w:lang w:val="vi-VN"/>
        </w:rPr>
        <w:t xml:space="preserve"> triệu lượt khách.km, tăng </w:t>
      </w:r>
      <w:r w:rsidRPr="00092690">
        <w:rPr>
          <w:spacing w:val="-2"/>
        </w:rPr>
        <w:t>7</w:t>
      </w:r>
      <w:r w:rsidRPr="00092690">
        <w:rPr>
          <w:spacing w:val="-2"/>
          <w:lang w:val="vi-VN"/>
        </w:rPr>
        <w:t>,</w:t>
      </w:r>
      <w:r w:rsidRPr="00092690">
        <w:rPr>
          <w:spacing w:val="-2"/>
        </w:rPr>
        <w:t>3</w:t>
      </w:r>
      <w:r w:rsidRPr="00092690">
        <w:rPr>
          <w:spacing w:val="-2"/>
          <w:lang w:val="vi-VN"/>
        </w:rPr>
        <w:t>%</w:t>
      </w:r>
      <w:r w:rsidR="007A6F48" w:rsidRPr="00092690">
        <w:rPr>
          <w:spacing w:val="-2"/>
        </w:rPr>
        <w:t>;</w:t>
      </w:r>
      <w:r w:rsidRPr="00092690">
        <w:rPr>
          <w:spacing w:val="-2"/>
        </w:rPr>
        <w:t xml:space="preserve"> đ</w:t>
      </w:r>
      <w:r w:rsidRPr="00092690">
        <w:rPr>
          <w:spacing w:val="-2"/>
          <w:lang w:val="vi-VN"/>
        </w:rPr>
        <w:t>ường hàng không</w:t>
      </w:r>
      <w:r w:rsidRPr="00092690">
        <w:rPr>
          <w:spacing w:val="-2"/>
        </w:rPr>
        <w:t xml:space="preserve"> </w:t>
      </w:r>
      <w:r w:rsidRPr="00092690">
        <w:rPr>
          <w:spacing w:val="-2"/>
          <w:lang w:val="vi-VN"/>
        </w:rPr>
        <w:t xml:space="preserve">đạt </w:t>
      </w:r>
      <w:r w:rsidRPr="00092690">
        <w:rPr>
          <w:spacing w:val="-2"/>
        </w:rPr>
        <w:t>khá với 16</w:t>
      </w:r>
      <w:r w:rsidRPr="00092690">
        <w:rPr>
          <w:spacing w:val="-2"/>
          <w:lang w:val="vi-VN"/>
        </w:rPr>
        <w:t xml:space="preserve"> triệu lượt khách, tăng </w:t>
      </w:r>
      <w:r w:rsidRPr="00092690">
        <w:rPr>
          <w:spacing w:val="-2"/>
        </w:rPr>
        <w:t>12</w:t>
      </w:r>
      <w:r w:rsidRPr="00092690">
        <w:rPr>
          <w:spacing w:val="-2"/>
          <w:lang w:val="vi-VN"/>
        </w:rPr>
        <w:t>,</w:t>
      </w:r>
      <w:r w:rsidRPr="00092690">
        <w:rPr>
          <w:spacing w:val="-2"/>
        </w:rPr>
        <w:t>3</w:t>
      </w:r>
      <w:r w:rsidRPr="00092690">
        <w:rPr>
          <w:spacing w:val="-2"/>
          <w:lang w:val="vi-VN"/>
        </w:rPr>
        <w:t xml:space="preserve">% và </w:t>
      </w:r>
      <w:r w:rsidRPr="00092690">
        <w:rPr>
          <w:spacing w:val="-2"/>
        </w:rPr>
        <w:t>17,4</w:t>
      </w:r>
      <w:r w:rsidRPr="00092690">
        <w:rPr>
          <w:spacing w:val="-2"/>
          <w:lang w:val="vi-VN"/>
        </w:rPr>
        <w:t xml:space="preserve"> tỷ lượt khách.km, tăng </w:t>
      </w:r>
      <w:r w:rsidRPr="00092690">
        <w:rPr>
          <w:spacing w:val="-2"/>
        </w:rPr>
        <w:t>11,9</w:t>
      </w:r>
      <w:r w:rsidRPr="00092690">
        <w:rPr>
          <w:spacing w:val="-2"/>
          <w:lang w:val="vi-VN"/>
        </w:rPr>
        <w:t>%</w:t>
      </w:r>
      <w:r w:rsidR="007A6F48" w:rsidRPr="00092690">
        <w:rPr>
          <w:spacing w:val="-2"/>
        </w:rPr>
        <w:t>; riêng</w:t>
      </w:r>
      <w:r w:rsidRPr="00092690">
        <w:rPr>
          <w:spacing w:val="-2"/>
        </w:rPr>
        <w:t xml:space="preserve"> </w:t>
      </w:r>
      <w:r w:rsidR="007A6F48" w:rsidRPr="00092690">
        <w:rPr>
          <w:spacing w:val="-2"/>
        </w:rPr>
        <w:t>v</w:t>
      </w:r>
      <w:r w:rsidRPr="00092690">
        <w:rPr>
          <w:spacing w:val="-2"/>
        </w:rPr>
        <w:t>ận tải</w:t>
      </w:r>
      <w:r w:rsidRPr="00092690">
        <w:rPr>
          <w:color w:val="000000"/>
          <w:spacing w:val="-2"/>
        </w:rPr>
        <w:t xml:space="preserve"> </w:t>
      </w:r>
      <w:r w:rsidRPr="00092690">
        <w:rPr>
          <w:color w:val="000000"/>
          <w:spacing w:val="-2"/>
          <w:lang w:val="vi-VN"/>
        </w:rPr>
        <w:t xml:space="preserve">đường sắt đạt </w:t>
      </w:r>
      <w:r w:rsidRPr="00092690">
        <w:rPr>
          <w:color w:val="000000"/>
          <w:spacing w:val="-2"/>
        </w:rPr>
        <w:t>2</w:t>
      </w:r>
      <w:r w:rsidRPr="00092690">
        <w:rPr>
          <w:color w:val="000000"/>
          <w:spacing w:val="-2"/>
          <w:lang w:val="vi-VN"/>
        </w:rPr>
        <w:t>,</w:t>
      </w:r>
      <w:r w:rsidRPr="00092690">
        <w:rPr>
          <w:color w:val="000000"/>
          <w:spacing w:val="-2"/>
        </w:rPr>
        <w:t>8</w:t>
      </w:r>
      <w:r w:rsidRPr="00092690">
        <w:rPr>
          <w:color w:val="000000"/>
          <w:spacing w:val="-2"/>
          <w:lang w:val="vi-VN"/>
        </w:rPr>
        <w:t xml:space="preserve"> triệu lượt khách, giảm </w:t>
      </w:r>
      <w:r w:rsidRPr="00092690">
        <w:rPr>
          <w:color w:val="000000"/>
          <w:spacing w:val="-2"/>
        </w:rPr>
        <w:t>11</w:t>
      </w:r>
      <w:r w:rsidRPr="00092690">
        <w:rPr>
          <w:color w:val="000000"/>
          <w:spacing w:val="-2"/>
          <w:lang w:val="vi-VN"/>
        </w:rPr>
        <w:t>,</w:t>
      </w:r>
      <w:r w:rsidRPr="00092690">
        <w:rPr>
          <w:color w:val="000000"/>
          <w:spacing w:val="-2"/>
        </w:rPr>
        <w:t>4</w:t>
      </w:r>
      <w:r w:rsidRPr="00092690">
        <w:rPr>
          <w:color w:val="000000"/>
          <w:spacing w:val="-2"/>
          <w:lang w:val="vi-VN"/>
        </w:rPr>
        <w:t xml:space="preserve">% và </w:t>
      </w:r>
      <w:r w:rsidRPr="00092690">
        <w:rPr>
          <w:color w:val="000000"/>
          <w:spacing w:val="-2"/>
        </w:rPr>
        <w:t>1</w:t>
      </w:r>
      <w:r w:rsidRPr="00092690">
        <w:rPr>
          <w:color w:val="000000"/>
          <w:spacing w:val="-2"/>
          <w:lang w:val="vi-VN"/>
        </w:rPr>
        <w:t>,</w:t>
      </w:r>
      <w:r w:rsidRPr="00092690">
        <w:rPr>
          <w:color w:val="000000"/>
          <w:spacing w:val="-2"/>
        </w:rPr>
        <w:t>2</w:t>
      </w:r>
      <w:r w:rsidRPr="00092690">
        <w:rPr>
          <w:color w:val="000000"/>
          <w:spacing w:val="-2"/>
          <w:lang w:val="vi-VN"/>
        </w:rPr>
        <w:t xml:space="preserve"> tỷ lượt khách.km, giảm </w:t>
      </w:r>
      <w:r w:rsidRPr="00092690">
        <w:rPr>
          <w:color w:val="000000"/>
          <w:spacing w:val="-2"/>
        </w:rPr>
        <w:t>4,5</w:t>
      </w:r>
      <w:r w:rsidRPr="00092690">
        <w:rPr>
          <w:color w:val="000000"/>
          <w:spacing w:val="-2"/>
          <w:lang w:val="vi-VN"/>
        </w:rPr>
        <w:t>%.</w:t>
      </w:r>
    </w:p>
    <w:p w:rsidR="00300597" w:rsidRPr="00190D72" w:rsidRDefault="008C63DB" w:rsidP="00083379">
      <w:pPr>
        <w:spacing w:before="40" w:after="40" w:line="274" w:lineRule="auto"/>
        <w:ind w:firstLine="567"/>
        <w:jc w:val="both"/>
        <w:rPr>
          <w:color w:val="000000"/>
        </w:rPr>
      </w:pPr>
      <w:r w:rsidRPr="00190D72">
        <w:rPr>
          <w:color w:val="000000"/>
        </w:rPr>
        <w:t xml:space="preserve">Vận tải hàng hóa tháng Tư ước tính </w:t>
      </w:r>
      <w:r w:rsidRPr="00190D72">
        <w:t>đạt 133,4 triệu tấn, tăng 1</w:t>
      </w:r>
      <w:r w:rsidRPr="00190D72">
        <w:rPr>
          <w:color w:val="000000"/>
        </w:rPr>
        <w:t>,4</w:t>
      </w:r>
      <w:r w:rsidRPr="00190D72">
        <w:t xml:space="preserve">% so với tháng trước và 24,7 tỷ tấn.km, tăng </w:t>
      </w:r>
      <w:r w:rsidRPr="00190D72">
        <w:rPr>
          <w:color w:val="000000"/>
        </w:rPr>
        <w:t>1,2</w:t>
      </w:r>
      <w:r w:rsidRPr="00190D72">
        <w:t>%. Tính chung 4 tháng, v</w:t>
      </w:r>
      <w:r w:rsidRPr="00190D72">
        <w:rPr>
          <w:lang w:val="vi-VN"/>
        </w:rPr>
        <w:t xml:space="preserve">ận tải hàng hóa đạt </w:t>
      </w:r>
      <w:r w:rsidRPr="00190D72">
        <w:t>524,9</w:t>
      </w:r>
      <w:r w:rsidRPr="00190D72">
        <w:rPr>
          <w:lang w:val="vi-VN"/>
        </w:rPr>
        <w:t xml:space="preserve"> triệu tấn, tăng </w:t>
      </w:r>
      <w:r w:rsidRPr="00190D72">
        <w:t>9,4</w:t>
      </w:r>
      <w:r w:rsidRPr="00190D72">
        <w:rPr>
          <w:lang w:val="vi-VN"/>
        </w:rPr>
        <w:t xml:space="preserve">% so với cùng kỳ năm trước và </w:t>
      </w:r>
      <w:r w:rsidRPr="00190D72">
        <w:t>97</w:t>
      </w:r>
      <w:r w:rsidRPr="00190D72">
        <w:rPr>
          <w:lang w:val="vi-VN"/>
        </w:rPr>
        <w:t>,</w:t>
      </w:r>
      <w:r w:rsidRPr="00190D72">
        <w:t>4</w:t>
      </w:r>
      <w:r w:rsidRPr="00190D72">
        <w:rPr>
          <w:lang w:val="vi-VN"/>
        </w:rPr>
        <w:t xml:space="preserve"> tỷ tấn.km, tăng </w:t>
      </w:r>
      <w:r w:rsidRPr="00190D72">
        <w:t>6,1</w:t>
      </w:r>
      <w:r w:rsidRPr="00190D72">
        <w:rPr>
          <w:lang w:val="vi-VN"/>
        </w:rPr>
        <w:t>%</w:t>
      </w:r>
      <w:r w:rsidRPr="00190D72">
        <w:t>, trong đó</w:t>
      </w:r>
      <w:r w:rsidRPr="00190D72">
        <w:rPr>
          <w:lang w:val="vi-VN"/>
        </w:rPr>
        <w:t xml:space="preserve"> </w:t>
      </w:r>
      <w:r w:rsidRPr="00190D72">
        <w:t>v</w:t>
      </w:r>
      <w:r w:rsidRPr="00190D72">
        <w:rPr>
          <w:lang w:val="vi-VN"/>
        </w:rPr>
        <w:t>ận tải</w:t>
      </w:r>
      <w:r w:rsidRPr="00190D72">
        <w:t xml:space="preserve"> </w:t>
      </w:r>
      <w:r w:rsidRPr="00190D72">
        <w:rPr>
          <w:lang w:val="vi-VN"/>
        </w:rPr>
        <w:t xml:space="preserve">trong nước đạt </w:t>
      </w:r>
      <w:r w:rsidRPr="00190D72">
        <w:t>513</w:t>
      </w:r>
      <w:r w:rsidRPr="00190D72">
        <w:rPr>
          <w:lang w:val="vi-VN"/>
        </w:rPr>
        <w:t>,</w:t>
      </w:r>
      <w:r w:rsidRPr="00190D72">
        <w:t>8</w:t>
      </w:r>
      <w:r w:rsidRPr="00190D72">
        <w:rPr>
          <w:lang w:val="vi-VN"/>
        </w:rPr>
        <w:t xml:space="preserve"> triệu tấn, tăng </w:t>
      </w:r>
      <w:r w:rsidRPr="00190D72">
        <w:t>9</w:t>
      </w:r>
      <w:r w:rsidRPr="00190D72">
        <w:rPr>
          <w:lang w:val="vi-VN"/>
        </w:rPr>
        <w:t>,</w:t>
      </w:r>
      <w:r w:rsidRPr="00190D72">
        <w:t>6</w:t>
      </w:r>
      <w:r w:rsidRPr="00190D72">
        <w:rPr>
          <w:lang w:val="vi-VN"/>
        </w:rPr>
        <w:t xml:space="preserve">% và </w:t>
      </w:r>
      <w:r w:rsidRPr="00190D72">
        <w:t>52</w:t>
      </w:r>
      <w:r w:rsidRPr="00190D72">
        <w:rPr>
          <w:lang w:val="vi-VN"/>
        </w:rPr>
        <w:t>,</w:t>
      </w:r>
      <w:r w:rsidRPr="00190D72">
        <w:t>1</w:t>
      </w:r>
      <w:r w:rsidRPr="00190D72">
        <w:rPr>
          <w:lang w:val="vi-VN"/>
        </w:rPr>
        <w:t xml:space="preserve"> tỷ tấn.km, tăng </w:t>
      </w:r>
      <w:r w:rsidRPr="00190D72">
        <w:t>9</w:t>
      </w:r>
      <w:r w:rsidRPr="00190D72">
        <w:rPr>
          <w:lang w:val="vi-VN"/>
        </w:rPr>
        <w:t>%; vận tải ngoài nước đạt</w:t>
      </w:r>
      <w:r w:rsidRPr="00190D72">
        <w:rPr>
          <w:color w:val="000000"/>
          <w:lang w:val="vi-VN"/>
        </w:rPr>
        <w:t xml:space="preserve"> </w:t>
      </w:r>
      <w:r w:rsidRPr="00190D72">
        <w:rPr>
          <w:color w:val="000000"/>
        </w:rPr>
        <w:t>11,1</w:t>
      </w:r>
      <w:r w:rsidRPr="00190D72">
        <w:rPr>
          <w:color w:val="000000"/>
          <w:lang w:val="vi-VN"/>
        </w:rPr>
        <w:t xml:space="preserve"> triệu tấn, tăng </w:t>
      </w:r>
      <w:r w:rsidRPr="00190D72">
        <w:rPr>
          <w:color w:val="000000"/>
        </w:rPr>
        <w:t>1</w:t>
      </w:r>
      <w:r w:rsidRPr="00190D72">
        <w:rPr>
          <w:color w:val="000000"/>
          <w:lang w:val="vi-VN"/>
        </w:rPr>
        <w:t>,</w:t>
      </w:r>
      <w:r w:rsidRPr="00190D72">
        <w:rPr>
          <w:color w:val="000000"/>
        </w:rPr>
        <w:t>4</w:t>
      </w:r>
      <w:r w:rsidRPr="00190D72">
        <w:rPr>
          <w:color w:val="000000"/>
          <w:lang w:val="vi-VN"/>
        </w:rPr>
        <w:t xml:space="preserve">% và </w:t>
      </w:r>
      <w:r w:rsidRPr="00190D72">
        <w:rPr>
          <w:color w:val="000000"/>
        </w:rPr>
        <w:t>45,2</w:t>
      </w:r>
      <w:r w:rsidRPr="00190D72">
        <w:rPr>
          <w:color w:val="000000"/>
          <w:lang w:val="vi-VN"/>
        </w:rPr>
        <w:t xml:space="preserve"> tỷ tấn.km, tăng </w:t>
      </w:r>
      <w:r w:rsidRPr="00190D72">
        <w:rPr>
          <w:color w:val="000000"/>
        </w:rPr>
        <w:t>3</w:t>
      </w:r>
      <w:r w:rsidRPr="00190D72">
        <w:rPr>
          <w:color w:val="000000"/>
          <w:lang w:val="vi-VN"/>
        </w:rPr>
        <w:t xml:space="preserve">%. </w:t>
      </w:r>
      <w:r w:rsidRPr="00190D72">
        <w:rPr>
          <w:color w:val="000000"/>
        </w:rPr>
        <w:t>Xét theo ngành v</w:t>
      </w:r>
      <w:r w:rsidRPr="00190D72">
        <w:rPr>
          <w:color w:val="000000"/>
          <w:lang w:val="vi-VN"/>
        </w:rPr>
        <w:t>ận tải</w:t>
      </w:r>
      <w:r w:rsidRPr="00190D72">
        <w:rPr>
          <w:color w:val="000000"/>
        </w:rPr>
        <w:t>,</w:t>
      </w:r>
      <w:r w:rsidRPr="00190D72">
        <w:rPr>
          <w:color w:val="000000"/>
          <w:lang w:val="vi-VN"/>
        </w:rPr>
        <w:t xml:space="preserve"> đường bộ đạt </w:t>
      </w:r>
      <w:r w:rsidRPr="00190D72">
        <w:rPr>
          <w:color w:val="000000"/>
        </w:rPr>
        <w:t>405,3</w:t>
      </w:r>
      <w:r w:rsidRPr="00190D72">
        <w:rPr>
          <w:color w:val="000000"/>
          <w:lang w:val="vi-VN"/>
        </w:rPr>
        <w:t xml:space="preserve"> triệu tấn, tăng </w:t>
      </w:r>
      <w:r w:rsidRPr="00190D72">
        <w:rPr>
          <w:color w:val="000000"/>
        </w:rPr>
        <w:t>10</w:t>
      </w:r>
      <w:r w:rsidRPr="00190D72">
        <w:rPr>
          <w:color w:val="000000"/>
          <w:lang w:val="vi-VN"/>
        </w:rPr>
        <w:t>,</w:t>
      </w:r>
      <w:r w:rsidRPr="00190D72">
        <w:rPr>
          <w:color w:val="000000"/>
        </w:rPr>
        <w:t>2</w:t>
      </w:r>
      <w:r w:rsidRPr="00190D72">
        <w:rPr>
          <w:color w:val="000000"/>
          <w:lang w:val="vi-VN"/>
        </w:rPr>
        <w:t xml:space="preserve">% so với cùng kỳ năm trước và </w:t>
      </w:r>
      <w:r w:rsidRPr="00190D72">
        <w:rPr>
          <w:color w:val="000000"/>
        </w:rPr>
        <w:t>26,7</w:t>
      </w:r>
      <w:r w:rsidRPr="00190D72">
        <w:rPr>
          <w:color w:val="000000"/>
          <w:lang w:val="vi-VN"/>
        </w:rPr>
        <w:t xml:space="preserve"> tỷ tấn.km, tăng </w:t>
      </w:r>
      <w:r w:rsidRPr="00190D72">
        <w:rPr>
          <w:color w:val="000000"/>
        </w:rPr>
        <w:t>9</w:t>
      </w:r>
      <w:r w:rsidRPr="00190D72">
        <w:rPr>
          <w:color w:val="000000"/>
          <w:lang w:val="vi-VN"/>
        </w:rPr>
        <w:t>,</w:t>
      </w:r>
      <w:r w:rsidRPr="00190D72">
        <w:rPr>
          <w:color w:val="000000"/>
        </w:rPr>
        <w:t>7</w:t>
      </w:r>
      <w:r w:rsidRPr="00190D72">
        <w:rPr>
          <w:color w:val="000000"/>
          <w:lang w:val="vi-VN"/>
        </w:rPr>
        <w:t xml:space="preserve">%; đường </w:t>
      </w:r>
      <w:r w:rsidRPr="00190D72">
        <w:rPr>
          <w:color w:val="000000"/>
        </w:rPr>
        <w:t xml:space="preserve">thủy nội địa </w:t>
      </w:r>
      <w:r w:rsidRPr="00190D72">
        <w:rPr>
          <w:color w:val="000000"/>
          <w:lang w:val="vi-VN"/>
        </w:rPr>
        <w:t xml:space="preserve">đạt </w:t>
      </w:r>
      <w:r w:rsidRPr="00190D72">
        <w:rPr>
          <w:color w:val="000000"/>
        </w:rPr>
        <w:t>92,6</w:t>
      </w:r>
      <w:r w:rsidRPr="00190D72">
        <w:rPr>
          <w:color w:val="000000"/>
          <w:lang w:val="vi-VN"/>
        </w:rPr>
        <w:t xml:space="preserve"> triệu tấn, tăng </w:t>
      </w:r>
      <w:r w:rsidRPr="00190D72">
        <w:rPr>
          <w:color w:val="000000"/>
        </w:rPr>
        <w:t>7,3</w:t>
      </w:r>
      <w:r w:rsidRPr="00190D72">
        <w:rPr>
          <w:color w:val="000000"/>
          <w:lang w:val="vi-VN"/>
        </w:rPr>
        <w:t xml:space="preserve">% và </w:t>
      </w:r>
      <w:r w:rsidRPr="00190D72">
        <w:rPr>
          <w:color w:val="000000"/>
        </w:rPr>
        <w:t xml:space="preserve">19,6 </w:t>
      </w:r>
      <w:r w:rsidRPr="00190D72">
        <w:rPr>
          <w:color w:val="000000"/>
          <w:lang w:val="vi-VN"/>
        </w:rPr>
        <w:t xml:space="preserve">tỷ tấn.km, tăng </w:t>
      </w:r>
      <w:r w:rsidRPr="00190D72">
        <w:rPr>
          <w:color w:val="000000"/>
        </w:rPr>
        <w:t>6</w:t>
      </w:r>
      <w:r w:rsidRPr="00190D72">
        <w:rPr>
          <w:color w:val="000000"/>
          <w:lang w:val="vi-VN"/>
        </w:rPr>
        <w:t>,</w:t>
      </w:r>
      <w:r w:rsidRPr="00190D72">
        <w:rPr>
          <w:color w:val="000000"/>
        </w:rPr>
        <w:t>9</w:t>
      </w:r>
      <w:r w:rsidRPr="00190D72">
        <w:rPr>
          <w:color w:val="000000"/>
          <w:lang w:val="vi-VN"/>
        </w:rPr>
        <w:t xml:space="preserve">%; đường biển đạt </w:t>
      </w:r>
      <w:r w:rsidRPr="00190D72">
        <w:rPr>
          <w:color w:val="000000"/>
        </w:rPr>
        <w:t>25,1</w:t>
      </w:r>
      <w:r w:rsidRPr="00190D72">
        <w:rPr>
          <w:color w:val="000000"/>
          <w:lang w:val="vi-VN"/>
        </w:rPr>
        <w:t xml:space="preserve"> triệu tấn, tăng </w:t>
      </w:r>
      <w:r w:rsidRPr="00190D72">
        <w:rPr>
          <w:color w:val="000000"/>
        </w:rPr>
        <w:t>4,4</w:t>
      </w:r>
      <w:r w:rsidRPr="00190D72">
        <w:rPr>
          <w:color w:val="000000"/>
          <w:lang w:val="vi-VN"/>
        </w:rPr>
        <w:t xml:space="preserve">% và </w:t>
      </w:r>
      <w:r w:rsidRPr="00190D72">
        <w:rPr>
          <w:color w:val="000000"/>
        </w:rPr>
        <w:t>49,5</w:t>
      </w:r>
      <w:r w:rsidRPr="00190D72">
        <w:rPr>
          <w:color w:val="000000"/>
          <w:lang w:val="vi-VN"/>
        </w:rPr>
        <w:t xml:space="preserve"> tỷ tấn.km, </w:t>
      </w:r>
      <w:r w:rsidRPr="00190D72">
        <w:rPr>
          <w:color w:val="000000"/>
        </w:rPr>
        <w:t>tăng</w:t>
      </w:r>
      <w:r w:rsidRPr="00190D72">
        <w:rPr>
          <w:color w:val="000000"/>
          <w:lang w:val="vi-VN"/>
        </w:rPr>
        <w:t xml:space="preserve"> </w:t>
      </w:r>
      <w:r w:rsidRPr="00190D72">
        <w:rPr>
          <w:color w:val="000000"/>
        </w:rPr>
        <w:t>3,8</w:t>
      </w:r>
      <w:r w:rsidRPr="00190D72">
        <w:rPr>
          <w:color w:val="000000"/>
          <w:lang w:val="vi-VN"/>
        </w:rPr>
        <w:t xml:space="preserve">%; đường sắt đạt </w:t>
      </w:r>
      <w:r w:rsidRPr="00190D72">
        <w:rPr>
          <w:color w:val="000000"/>
        </w:rPr>
        <w:t>1,9</w:t>
      </w:r>
      <w:r w:rsidRPr="00190D72">
        <w:rPr>
          <w:color w:val="000000"/>
          <w:lang w:val="vi-VN"/>
        </w:rPr>
        <w:t xml:space="preserve"> triệu tấn, </w:t>
      </w:r>
      <w:r w:rsidRPr="00190D72">
        <w:rPr>
          <w:color w:val="000000"/>
        </w:rPr>
        <w:t>tăng</w:t>
      </w:r>
      <w:r w:rsidRPr="00190D72">
        <w:rPr>
          <w:color w:val="000000"/>
          <w:lang w:val="vi-VN"/>
        </w:rPr>
        <w:t xml:space="preserve"> </w:t>
      </w:r>
      <w:r w:rsidRPr="00190D72">
        <w:rPr>
          <w:color w:val="000000"/>
        </w:rPr>
        <w:t>5</w:t>
      </w:r>
      <w:r w:rsidRPr="00190D72">
        <w:rPr>
          <w:color w:val="000000"/>
          <w:lang w:val="vi-VN"/>
        </w:rPr>
        <w:t>,</w:t>
      </w:r>
      <w:r w:rsidRPr="00190D72">
        <w:rPr>
          <w:color w:val="000000"/>
        </w:rPr>
        <w:t>9</w:t>
      </w:r>
      <w:r w:rsidRPr="00190D72">
        <w:rPr>
          <w:color w:val="000000"/>
          <w:lang w:val="vi-VN"/>
        </w:rPr>
        <w:t xml:space="preserve">% và </w:t>
      </w:r>
      <w:r w:rsidRPr="00190D72">
        <w:rPr>
          <w:color w:val="000000"/>
        </w:rPr>
        <w:t>1</w:t>
      </w:r>
      <w:r w:rsidRPr="00190D72">
        <w:rPr>
          <w:color w:val="000000"/>
          <w:lang w:val="vi-VN"/>
        </w:rPr>
        <w:t>,</w:t>
      </w:r>
      <w:r w:rsidRPr="00190D72">
        <w:rPr>
          <w:color w:val="000000"/>
        </w:rPr>
        <w:t>3</w:t>
      </w:r>
      <w:r w:rsidRPr="00190D72">
        <w:rPr>
          <w:color w:val="000000"/>
          <w:lang w:val="vi-VN"/>
        </w:rPr>
        <w:t xml:space="preserve"> tỷ tấn.km, </w:t>
      </w:r>
      <w:r w:rsidRPr="00190D72">
        <w:rPr>
          <w:color w:val="000000"/>
        </w:rPr>
        <w:t>tăng</w:t>
      </w:r>
      <w:r w:rsidRPr="00190D72">
        <w:rPr>
          <w:color w:val="000000"/>
          <w:lang w:val="vi-VN"/>
        </w:rPr>
        <w:t xml:space="preserve"> </w:t>
      </w:r>
      <w:r w:rsidRPr="00190D72">
        <w:rPr>
          <w:color w:val="000000"/>
        </w:rPr>
        <w:t>14,8%; đường hàng không đạt 90,3 nghìn tấn, giảm 3,5% và 237,3 triệu tấn.km, giảm 0,2%.</w:t>
      </w:r>
    </w:p>
    <w:p w:rsidR="00A51EA3" w:rsidRPr="00190D72" w:rsidRDefault="00A219D8" w:rsidP="00092690">
      <w:pPr>
        <w:spacing w:before="40" w:after="40" w:line="278" w:lineRule="auto"/>
        <w:ind w:firstLine="567"/>
        <w:jc w:val="both"/>
        <w:rPr>
          <w:b/>
          <w:bCs/>
          <w:i/>
          <w:iCs/>
        </w:rPr>
      </w:pPr>
      <w:r w:rsidRPr="00190D72">
        <w:rPr>
          <w:b/>
          <w:bCs/>
          <w:i/>
          <w:iCs/>
        </w:rPr>
        <w:t>e. Khách quốc tế đến Việt Nam</w:t>
      </w:r>
    </w:p>
    <w:p w:rsidR="008C63DB" w:rsidRPr="00190D72" w:rsidRDefault="008C63DB" w:rsidP="00083379">
      <w:pPr>
        <w:shd w:val="clear" w:color="auto" w:fill="FFFFFF"/>
        <w:spacing w:before="40" w:after="40" w:line="300" w:lineRule="auto"/>
        <w:ind w:firstLine="567"/>
        <w:jc w:val="both"/>
        <w:rPr>
          <w:bCs/>
          <w:color w:val="000000"/>
        </w:rPr>
      </w:pPr>
      <w:r w:rsidRPr="00190D72">
        <w:t xml:space="preserve">Khách quốc tế đến nước ta trong tháng Tư ước tính đạt 1.341,9 nghìn lượt người, giảm 0,1% so với tháng trước, trong đó: Khách đến bằng đường hàng không tương đương tháng trước; </w:t>
      </w:r>
      <w:r w:rsidR="008C134B" w:rsidRPr="00190D72">
        <w:t xml:space="preserve">đến </w:t>
      </w:r>
      <w:r w:rsidRPr="00190D72">
        <w:t xml:space="preserve">bằng đường bộ tăng 1,4%; bằng đường biển giảm 18%. So với cùng kỳ năm trước, khách quốc tế đến nước ta </w:t>
      </w:r>
      <w:r w:rsidRPr="00190D72">
        <w:rPr>
          <w:lang w:val="vi-VN"/>
        </w:rPr>
        <w:t xml:space="preserve">tăng </w:t>
      </w:r>
      <w:r w:rsidRPr="00190D72">
        <w:t>25,2</w:t>
      </w:r>
      <w:r w:rsidRPr="00190D72">
        <w:rPr>
          <w:lang w:val="vi-VN"/>
        </w:rPr>
        <w:t xml:space="preserve">%, </w:t>
      </w:r>
      <w:r w:rsidRPr="00190D72">
        <w:rPr>
          <w:bCs/>
          <w:color w:val="000000"/>
        </w:rPr>
        <w:t xml:space="preserve">do trong tháng này có nhiều hoạt động nhằm thu hút khách quốc tế như: </w:t>
      </w:r>
      <w:r w:rsidRPr="00183269">
        <w:rPr>
          <w:bCs/>
          <w:color w:val="000000"/>
          <w:spacing w:val="6"/>
        </w:rPr>
        <w:t>Hội chợ du lịch quốc tế Việt Nam tại Hà Nội; Ngày hội du lịch thành phố</w:t>
      </w:r>
      <w:r w:rsidRPr="00190D72">
        <w:rPr>
          <w:bCs/>
          <w:color w:val="000000"/>
        </w:rPr>
        <w:t xml:space="preserve"> Hồ Chí Minh; Ngày văn hóa các dân tộc Việt Nam tại Hà Nội; Lễ hội Ẩm thực và văn hóa châu Á 2018 tại Hà Nội và Quảng Ninh.</w:t>
      </w:r>
      <w:r w:rsidR="008C134B" w:rsidRPr="00190D72">
        <w:rPr>
          <w:bCs/>
          <w:color w:val="000000"/>
        </w:rPr>
        <w:t xml:space="preserve"> </w:t>
      </w:r>
      <w:r w:rsidRPr="00190D72">
        <w:t>T</w:t>
      </w:r>
      <w:r w:rsidRPr="00190D72">
        <w:rPr>
          <w:lang w:val="vi-VN"/>
        </w:rPr>
        <w:t xml:space="preserve">rong </w:t>
      </w:r>
      <w:r w:rsidR="008C134B" w:rsidRPr="00190D72">
        <w:t>tháng Tư</w:t>
      </w:r>
      <w:r w:rsidRPr="00190D72">
        <w:rPr>
          <w:lang w:val="vi-VN"/>
        </w:rPr>
        <w:t xml:space="preserve"> khách đến từ châu Á tăng </w:t>
      </w:r>
      <w:r w:rsidRPr="00190D72">
        <w:t>31</w:t>
      </w:r>
      <w:r w:rsidRPr="00190D72">
        <w:rPr>
          <w:lang w:val="vi-VN"/>
        </w:rPr>
        <w:t>,</w:t>
      </w:r>
      <w:r w:rsidRPr="00190D72">
        <w:t>3</w:t>
      </w:r>
      <w:r w:rsidRPr="00190D72">
        <w:rPr>
          <w:lang w:val="vi-VN"/>
        </w:rPr>
        <w:t>%</w:t>
      </w:r>
      <w:r w:rsidR="008C134B" w:rsidRPr="00190D72">
        <w:t xml:space="preserve"> so với cùng kỳ năm trước</w:t>
      </w:r>
      <w:r w:rsidRPr="00190D72">
        <w:rPr>
          <w:lang w:val="vi-VN"/>
        </w:rPr>
        <w:t xml:space="preserve">; từ châu Âu tăng </w:t>
      </w:r>
      <w:r w:rsidRPr="00190D72">
        <w:t>5</w:t>
      </w:r>
      <w:r w:rsidRPr="00190D72">
        <w:rPr>
          <w:lang w:val="vi-VN"/>
        </w:rPr>
        <w:t>,</w:t>
      </w:r>
      <w:r w:rsidRPr="00190D72">
        <w:t>3</w:t>
      </w:r>
      <w:r w:rsidRPr="00190D72">
        <w:rPr>
          <w:lang w:val="vi-VN"/>
        </w:rPr>
        <w:t xml:space="preserve">%; từ châu Mỹ tăng </w:t>
      </w:r>
      <w:r w:rsidRPr="00190D72">
        <w:t>20,4</w:t>
      </w:r>
      <w:r w:rsidRPr="00190D72">
        <w:rPr>
          <w:lang w:val="vi-VN"/>
        </w:rPr>
        <w:t xml:space="preserve">%; từ châu </w:t>
      </w:r>
      <w:r w:rsidRPr="00190D72">
        <w:t>Úc</w:t>
      </w:r>
      <w:r w:rsidRPr="00190D72">
        <w:rPr>
          <w:lang w:val="vi-VN"/>
        </w:rPr>
        <w:t xml:space="preserve"> tăng </w:t>
      </w:r>
      <w:r w:rsidRPr="00190D72">
        <w:t>10,2</w:t>
      </w:r>
      <w:r w:rsidRPr="00190D72">
        <w:rPr>
          <w:lang w:val="vi-VN"/>
        </w:rPr>
        <w:t xml:space="preserve">%; từ châu Phi tăng </w:t>
      </w:r>
      <w:r w:rsidRPr="00190D72">
        <w:t>14</w:t>
      </w:r>
      <w:r w:rsidRPr="00190D72">
        <w:rPr>
          <w:lang w:val="vi-VN"/>
        </w:rPr>
        <w:t>%.</w:t>
      </w:r>
      <w:r w:rsidRPr="00190D72">
        <w:t xml:space="preserve"> </w:t>
      </w:r>
    </w:p>
    <w:p w:rsidR="008C63DB" w:rsidRPr="00190D72" w:rsidRDefault="008C63DB" w:rsidP="00083379">
      <w:pPr>
        <w:spacing w:before="40" w:after="40" w:line="293" w:lineRule="auto"/>
        <w:ind w:firstLine="567"/>
        <w:jc w:val="both"/>
        <w:rPr>
          <w:color w:val="FF0000"/>
          <w:lang w:val="vi-VN"/>
        </w:rPr>
      </w:pPr>
      <w:r w:rsidRPr="00190D72">
        <w:t>Tính chung 4 tháng đầu năm, khách quốc tế đến nước ta ước tính đạt 5.547,3 nghìn lượt người, tăng 29,5% so với cùng kỳ năm trước, trong đó khách đến bằng đường hàng không đạt 4.434,5</w:t>
      </w:r>
      <w:r w:rsidRPr="00190D72">
        <w:rPr>
          <w:lang w:val="vi-VN"/>
        </w:rPr>
        <w:t xml:space="preserve"> </w:t>
      </w:r>
      <w:r w:rsidRPr="00190D72">
        <w:t>nghìn lượt người, tăng 26,3%; đến bằng đường bộ đạt 970,7</w:t>
      </w:r>
      <w:r w:rsidRPr="00190D72">
        <w:rPr>
          <w:lang w:val="vi-VN"/>
        </w:rPr>
        <w:t xml:space="preserve"> </w:t>
      </w:r>
      <w:r w:rsidRPr="00190D72">
        <w:t xml:space="preserve">nghìn lượt người, tăng 58,9%; đến bằng đường biển đạt 142,1 nghìn lượt người, </w:t>
      </w:r>
      <w:r w:rsidRPr="00190D72">
        <w:rPr>
          <w:lang w:val="vi-VN"/>
        </w:rPr>
        <w:t>giảm</w:t>
      </w:r>
      <w:r w:rsidRPr="00190D72">
        <w:t xml:space="preserve"> 12,2%.</w:t>
      </w:r>
    </w:p>
    <w:p w:rsidR="008C63DB" w:rsidRPr="00190D72" w:rsidRDefault="008C63DB" w:rsidP="00092690">
      <w:pPr>
        <w:spacing w:before="40" w:after="40" w:line="278" w:lineRule="auto"/>
        <w:ind w:firstLine="567"/>
        <w:jc w:val="both"/>
      </w:pPr>
      <w:r w:rsidRPr="00190D72">
        <w:lastRenderedPageBreak/>
        <w:t>Trong 4 tháng năm</w:t>
      </w:r>
      <w:r w:rsidRPr="00190D72">
        <w:rPr>
          <w:lang w:val="vi-VN"/>
        </w:rPr>
        <w:t xml:space="preserve"> nay</w:t>
      </w:r>
      <w:r w:rsidRPr="00190D72">
        <w:t xml:space="preserve">, khách đến từ châu Á đạt 4.168,9 nghìn lượt người, tăng 36% so với cùng kỳ năm trước, trong đó khách đến từ hầu hết các thị trường chính đều tăng: Khách đến từ Trung Quốc đạt 1.776 nghìn lượt người, tăng 39,7%; Hàn Quốc 1173,8 nghìn lượt người, tăng 67,3%; Nhật Bản 279,8 nghìn lượt người, tăng 7%; Đài Loan 227,4 nghìn lượt người, tăng 14,3%; Ma-lai-xi-a 177,6 nghìn lượt người, tăng 16,3%; Thái Lan 119,3 nghìn lượt người, tăng 9,2%; Xin-ga-po 91,7 nghìn lượt người, tăng 8%. </w:t>
      </w:r>
    </w:p>
    <w:p w:rsidR="008C63DB" w:rsidRPr="00190D72" w:rsidRDefault="008C63DB" w:rsidP="00092690">
      <w:pPr>
        <w:spacing w:before="40" w:after="40" w:line="278" w:lineRule="auto"/>
        <w:ind w:firstLine="567"/>
        <w:jc w:val="both"/>
      </w:pPr>
      <w:r w:rsidRPr="00190D72">
        <w:t>Khách đến từ châu Âu ước tính đạt 843,4 nghìn lượt người, tăng 12,9% so với cùng kỳ năm trước, trong đó: Khách đến từ Liên bang Nga 261,9 nghìn lượt người, tăng 13,4%; Vương quốc Anh 118,3 nghìn lượt người, tăng 11,1%; Pháp 114,4 nghìn lượt người, tăng 8,6%; Đức 89,5 nghìn lượt người, tăng 8%; Thụy Điển 28,7 nghìn lượt người, tăng 16,8%; I-ta-li-a 26,2 nghìn lượt người, tăng 19</w:t>
      </w:r>
      <w:r w:rsidRPr="00190D72">
        <w:rPr>
          <w:lang w:val="vi-VN"/>
        </w:rPr>
        <w:t>,</w:t>
      </w:r>
      <w:r w:rsidRPr="00190D72">
        <w:t>7%</w:t>
      </w:r>
      <w:r w:rsidRPr="00190D72">
        <w:rPr>
          <w:lang w:val="vi-VN"/>
        </w:rPr>
        <w:t xml:space="preserve">; </w:t>
      </w:r>
      <w:r w:rsidRPr="00190D72">
        <w:t xml:space="preserve">Hà Lan </w:t>
      </w:r>
      <w:r w:rsidRPr="00190D72">
        <w:rPr>
          <w:lang w:val="vi-VN"/>
        </w:rPr>
        <w:t>2</w:t>
      </w:r>
      <w:r w:rsidRPr="00190D72">
        <w:t xml:space="preserve">5,5 nghìn lượt người, tăng 9,3%. </w:t>
      </w:r>
    </w:p>
    <w:p w:rsidR="00FE4FB5" w:rsidRPr="00190D72" w:rsidRDefault="008C63DB" w:rsidP="00092690">
      <w:pPr>
        <w:spacing w:before="40" w:after="40" w:line="278" w:lineRule="auto"/>
        <w:ind w:firstLine="567"/>
        <w:jc w:val="both"/>
      </w:pPr>
      <w:r w:rsidRPr="00190D72">
        <w:t>Khách đến từ châu Mỹ đạt 357,3 nghìn lượt người, tăng 13,4% so với cùng kỳ năm trước, trong đó khách đến từ Hoa Kỳ đạt 263,5 nghìn lượt người, tăng 15,3%. Khách đến từ châu Úc đạt 163 nghìn lượt người, tăng 12,6% so với cùng kỳ năm 2017, trong đó khách đến từ Ôx-trây-li-a đạt 147,6 nghìn lượt người, tăng 13</w:t>
      </w:r>
      <w:r w:rsidRPr="00190D72">
        <w:rPr>
          <w:lang w:val="vi-VN"/>
        </w:rPr>
        <w:t>,</w:t>
      </w:r>
      <w:r w:rsidRPr="00190D72">
        <w:t>2%. Khách đến từ châu Phi đạt 14,8 nghìn lượt người, tăng 22,5% so với cùng kỳ năm 2017.</w:t>
      </w:r>
    </w:p>
    <w:p w:rsidR="00FE6C83" w:rsidRPr="00190D72" w:rsidRDefault="00FE6C83" w:rsidP="00092690">
      <w:pPr>
        <w:spacing w:before="40" w:after="40" w:line="278" w:lineRule="auto"/>
        <w:ind w:firstLine="567"/>
        <w:jc w:val="both"/>
        <w:rPr>
          <w:b/>
          <w:bCs/>
        </w:rPr>
      </w:pPr>
      <w:r w:rsidRPr="00190D72">
        <w:rPr>
          <w:b/>
          <w:bCs/>
        </w:rPr>
        <w:t>7. Một số tình hình xã hội</w:t>
      </w:r>
    </w:p>
    <w:p w:rsidR="004A1DC5" w:rsidRPr="00190D72" w:rsidRDefault="00A64797" w:rsidP="00092690">
      <w:pPr>
        <w:spacing w:before="40" w:after="40" w:line="278" w:lineRule="auto"/>
        <w:ind w:firstLine="567"/>
        <w:jc w:val="both"/>
        <w:rPr>
          <w:b/>
          <w:bCs/>
          <w:i/>
          <w:iCs/>
        </w:rPr>
      </w:pPr>
      <w:r w:rsidRPr="00190D72">
        <w:rPr>
          <w:lang w:val="de-DE"/>
        </w:rPr>
        <w:t xml:space="preserve"> </w:t>
      </w:r>
      <w:r w:rsidR="004A1DC5" w:rsidRPr="00190D72">
        <w:rPr>
          <w:b/>
          <w:bCs/>
          <w:i/>
          <w:iCs/>
        </w:rPr>
        <w:t>a. Thiếu đói trong nông dân</w:t>
      </w:r>
    </w:p>
    <w:p w:rsidR="004A1DC5" w:rsidRPr="00190D72" w:rsidRDefault="004A1DC5" w:rsidP="008D0FA8">
      <w:pPr>
        <w:spacing w:before="40" w:after="40" w:line="283" w:lineRule="auto"/>
        <w:ind w:firstLine="567"/>
        <w:jc w:val="both"/>
      </w:pPr>
      <w:r w:rsidRPr="00190D72">
        <w:rPr>
          <w:lang w:val="vi-VN"/>
        </w:rPr>
        <w:t xml:space="preserve">Trong tháng </w:t>
      </w:r>
      <w:r w:rsidRPr="00190D72">
        <w:t xml:space="preserve">Tư, </w:t>
      </w:r>
      <w:r w:rsidRPr="00190D72">
        <w:rPr>
          <w:lang w:val="vi-VN"/>
        </w:rPr>
        <w:t xml:space="preserve">cả nước có </w:t>
      </w:r>
      <w:r w:rsidRPr="00190D72">
        <w:t>13,2</w:t>
      </w:r>
      <w:r w:rsidRPr="00190D72">
        <w:rPr>
          <w:lang w:val="vi-VN"/>
        </w:rPr>
        <w:t xml:space="preserve"> nghìn hộ thiếu đói, giảm </w:t>
      </w:r>
      <w:r w:rsidRPr="00190D72">
        <w:t>25</w:t>
      </w:r>
      <w:r w:rsidRPr="00190D72">
        <w:rPr>
          <w:lang w:val="vi-VN"/>
        </w:rPr>
        <w:t xml:space="preserve">% so với </w:t>
      </w:r>
      <w:r w:rsidRPr="00190D72">
        <w:t>cùng kỳ năm trước</w:t>
      </w:r>
      <w:r w:rsidRPr="00190D72">
        <w:rPr>
          <w:lang w:val="vi-VN"/>
        </w:rPr>
        <w:t xml:space="preserve">, tương ứng với </w:t>
      </w:r>
      <w:r w:rsidRPr="00190D72">
        <w:t>56,6</w:t>
      </w:r>
      <w:r w:rsidRPr="00190D72">
        <w:rPr>
          <w:lang w:val="vi-VN"/>
        </w:rPr>
        <w:t xml:space="preserve"> nghìn nhân khẩu thiếu đói, giảm </w:t>
      </w:r>
      <w:r w:rsidRPr="00190D72">
        <w:t>24</w:t>
      </w:r>
      <w:r w:rsidRPr="00190D72">
        <w:rPr>
          <w:lang w:val="vi-VN"/>
        </w:rPr>
        <w:t xml:space="preserve">%. </w:t>
      </w:r>
      <w:r w:rsidRPr="00190D72">
        <w:t>Tuy là tháng cao điểm của kỳ giáp hạt nhưng tình hình thiếu đói trong dân tháng Tư năm nay đã được cải thiện, là tháng giáp hạt có số hộ và số nhân khẩu thiếu đói thấp nhất kể từ năm 2015</w:t>
      </w:r>
      <w:r w:rsidRPr="00190D72">
        <w:rPr>
          <w:rStyle w:val="FootnoteReference"/>
        </w:rPr>
        <w:footnoteReference w:id="11"/>
      </w:r>
      <w:r w:rsidRPr="00190D72">
        <w:t xml:space="preserve">. </w:t>
      </w:r>
      <w:r w:rsidRPr="00190D72">
        <w:rPr>
          <w:lang w:val="vi-VN"/>
        </w:rPr>
        <w:t xml:space="preserve">Tính chung </w:t>
      </w:r>
      <w:r w:rsidRPr="00190D72">
        <w:t>4</w:t>
      </w:r>
      <w:r w:rsidRPr="00190D72">
        <w:rPr>
          <w:lang w:val="vi-VN"/>
        </w:rPr>
        <w:t xml:space="preserve"> tháng </w:t>
      </w:r>
      <w:r w:rsidRPr="00190D72">
        <w:t xml:space="preserve">đầu </w:t>
      </w:r>
      <w:r w:rsidRPr="00190D72">
        <w:rPr>
          <w:lang w:val="vi-VN"/>
        </w:rPr>
        <w:t>năm</w:t>
      </w:r>
      <w:r w:rsidRPr="00190D72">
        <w:t xml:space="preserve"> 2018</w:t>
      </w:r>
      <w:r w:rsidRPr="00190D72">
        <w:rPr>
          <w:lang w:val="vi-VN"/>
        </w:rPr>
        <w:t xml:space="preserve">, cả nước có </w:t>
      </w:r>
      <w:r w:rsidRPr="00190D72">
        <w:t>59,4</w:t>
      </w:r>
      <w:r w:rsidRPr="00190D72">
        <w:rPr>
          <w:lang w:val="vi-VN"/>
        </w:rPr>
        <w:t xml:space="preserve"> nghìn lượt hộ thiếu đói, </w:t>
      </w:r>
      <w:r w:rsidRPr="00190D72">
        <w:t>giảm 36,7</w:t>
      </w:r>
      <w:r w:rsidRPr="00190D72">
        <w:rPr>
          <w:lang w:val="vi-VN"/>
        </w:rPr>
        <w:t xml:space="preserve">% so với cùng kỳ năm trước, tương ứng với </w:t>
      </w:r>
      <w:r w:rsidRPr="00190D72">
        <w:t xml:space="preserve">229,8 </w:t>
      </w:r>
      <w:r w:rsidRPr="00190D72">
        <w:rPr>
          <w:lang w:val="vi-VN"/>
        </w:rPr>
        <w:t xml:space="preserve">nghìn lượt nhân khẩu thiếu đói, </w:t>
      </w:r>
      <w:r w:rsidRPr="00190D72">
        <w:t>giảm 40,6</w:t>
      </w:r>
      <w:r w:rsidRPr="00190D72">
        <w:rPr>
          <w:lang w:val="vi-VN"/>
        </w:rPr>
        <w:t xml:space="preserve">%. Để khắc phục tình trạng thiếu đói, từ đầu năm, các cấp, các ngành, các tổ chức từ </w:t>
      </w:r>
      <w:r w:rsidRPr="00190D72">
        <w:t>T</w:t>
      </w:r>
      <w:r w:rsidRPr="00190D72">
        <w:rPr>
          <w:lang w:val="vi-VN"/>
        </w:rPr>
        <w:t xml:space="preserve">rung ương đến địa phương đã hỗ trợ các hộ thiếu đói </w:t>
      </w:r>
      <w:r w:rsidRPr="00190D72">
        <w:t>4,8</w:t>
      </w:r>
      <w:r w:rsidRPr="00190D72">
        <w:rPr>
          <w:lang w:val="vi-VN"/>
        </w:rPr>
        <w:t xml:space="preserve"> nghìn tấn lương thực</w:t>
      </w:r>
      <w:r w:rsidRPr="00190D72">
        <w:t>.</w:t>
      </w:r>
    </w:p>
    <w:p w:rsidR="004A1DC5" w:rsidRPr="00190D72" w:rsidRDefault="004A1DC5" w:rsidP="00190D72">
      <w:pPr>
        <w:pStyle w:val="normal0"/>
        <w:tabs>
          <w:tab w:val="left" w:pos="900"/>
        </w:tabs>
        <w:spacing w:before="40" w:beforeAutospacing="0" w:after="40" w:afterAutospacing="0" w:line="288" w:lineRule="auto"/>
        <w:ind w:firstLine="567"/>
        <w:jc w:val="both"/>
        <w:rPr>
          <w:rStyle w:val="normalchar"/>
          <w:b/>
          <w:bCs/>
          <w:i/>
          <w:iCs/>
          <w:sz w:val="28"/>
          <w:szCs w:val="28"/>
          <w:lang w:val="nl-NL"/>
        </w:rPr>
      </w:pPr>
      <w:r w:rsidRPr="00190D72">
        <w:rPr>
          <w:rStyle w:val="normalchar"/>
          <w:b/>
          <w:bCs/>
          <w:i/>
          <w:iCs/>
          <w:sz w:val="28"/>
          <w:szCs w:val="28"/>
          <w:lang w:val="nl-NL"/>
        </w:rPr>
        <w:t>b. Tình hình dịch bệnh, ngộ độc thực phẩm</w:t>
      </w:r>
    </w:p>
    <w:p w:rsidR="004A1DC5" w:rsidRPr="00190D72" w:rsidRDefault="004A1DC5" w:rsidP="00190D72">
      <w:pPr>
        <w:spacing w:before="40" w:after="40" w:line="288" w:lineRule="auto"/>
        <w:ind w:firstLine="567"/>
        <w:jc w:val="both"/>
        <w:rPr>
          <w:lang w:val="de-DE"/>
        </w:rPr>
      </w:pPr>
      <w:r w:rsidRPr="00190D72">
        <w:rPr>
          <w:lang w:val="de-DE"/>
        </w:rPr>
        <w:t xml:space="preserve">Trong tháng Tư, cả nước có 2,4 nghìn trường hợp mắc bệnh tay chân miệng; 3,4 nghìn trường hợp mắc bệnh sốt xuất huyết (3 trường hợp tử vong); </w:t>
      </w:r>
      <w:r w:rsidRPr="00190D72">
        <w:rPr>
          <w:lang w:val="de-DE"/>
        </w:rPr>
        <w:br/>
        <w:t>67 trường hợp mắc bệnh thương hàn; 46</w:t>
      </w:r>
      <w:r w:rsidRPr="00190D72">
        <w:rPr>
          <w:rStyle w:val="normalchar"/>
        </w:rPr>
        <w:t xml:space="preserve"> </w:t>
      </w:r>
      <w:r w:rsidRPr="00190D72">
        <w:rPr>
          <w:lang w:val="de-DE"/>
        </w:rPr>
        <w:t xml:space="preserve">trường hợp mắc bệnh viêm não vi rút; </w:t>
      </w:r>
      <w:r w:rsidRPr="00183269">
        <w:rPr>
          <w:spacing w:val="4"/>
          <w:lang w:val="de-DE"/>
        </w:rPr>
        <w:t>48 trường hợp mắc bệnh ho gà; 2 trường hợp mắc bệnh viêm não do mô cầu;</w:t>
      </w:r>
      <w:r w:rsidRPr="00190D72">
        <w:rPr>
          <w:lang w:val="de-DE"/>
        </w:rPr>
        <w:t xml:space="preserve"> </w:t>
      </w:r>
      <w:r w:rsidRPr="00183269">
        <w:rPr>
          <w:lang w:val="de-DE"/>
        </w:rPr>
        <w:t>3 trường hợp mắc bệnh liên cầu lợn ở người</w:t>
      </w:r>
      <w:r w:rsidR="00E304D8" w:rsidRPr="00183269">
        <w:rPr>
          <w:lang w:val="de-DE"/>
        </w:rPr>
        <w:t xml:space="preserve"> và</w:t>
      </w:r>
      <w:r w:rsidRPr="00183269">
        <w:rPr>
          <w:lang w:val="de-DE"/>
        </w:rPr>
        <w:t xml:space="preserve"> </w:t>
      </w:r>
      <w:r w:rsidRPr="00183269">
        <w:rPr>
          <w:lang w:val="nl-NL"/>
        </w:rPr>
        <w:t xml:space="preserve">20 người bị ngộ độc thực phẩm </w:t>
      </w:r>
      <w:r w:rsidRPr="00190D72">
        <w:rPr>
          <w:lang w:val="nl-NL"/>
        </w:rPr>
        <w:lastRenderedPageBreak/>
        <w:t>(3 người tử vong)</w:t>
      </w:r>
      <w:r w:rsidRPr="00190D72">
        <w:rPr>
          <w:lang w:val="de-DE"/>
        </w:rPr>
        <w:t xml:space="preserve">. </w:t>
      </w:r>
      <w:r w:rsidRPr="00190D72">
        <w:rPr>
          <w:lang w:val="es-BO"/>
        </w:rPr>
        <w:t>Tính chung 4</w:t>
      </w:r>
      <w:r w:rsidRPr="00190D72">
        <w:rPr>
          <w:lang w:val="de-DE"/>
        </w:rPr>
        <w:t xml:space="preserve"> tháng đầu năm, cả nước có gần 7 nghìn trường hợp mắc bệnh tay chân miệng; 14,8 nghìn trường hợp mắc bệnh sốt xuất huyết (4 trường hợp tử vong); 162 trường hợp mắc bệnh thương hàn; 131 trường hợp </w:t>
      </w:r>
      <w:r w:rsidRPr="00E304D8">
        <w:rPr>
          <w:lang w:val="de-DE"/>
        </w:rPr>
        <w:t xml:space="preserve">mắc bệnh viêm não vi rút (2 trường hợp tử vong); 101 trường hợp mắc bệnh ho gà; 10 trường hợp mắc bệnh viêm não do mô cầu; 30 trường hợp mắc bệnh liên cầu lợn ở người (3 trường hợp tử vong); 18 trường hợp tử vong do bệnh dại và </w:t>
      </w:r>
      <w:r w:rsidRPr="00E304D8">
        <w:rPr>
          <w:lang w:val="nl-NL"/>
        </w:rPr>
        <w:t>522 người</w:t>
      </w:r>
      <w:r w:rsidRPr="00190D72">
        <w:rPr>
          <w:lang w:val="nl-NL"/>
        </w:rPr>
        <w:t xml:space="preserve"> bị ngộ độc thực phẩm</w:t>
      </w:r>
      <w:r w:rsidRPr="00190D72">
        <w:rPr>
          <w:lang w:val="de-DE"/>
        </w:rPr>
        <w:t xml:space="preserve"> (6 người tử vong). </w:t>
      </w:r>
    </w:p>
    <w:p w:rsidR="004A1DC5" w:rsidRPr="00190D72" w:rsidRDefault="004A1DC5" w:rsidP="00092690">
      <w:pPr>
        <w:spacing w:before="40" w:after="40" w:line="278" w:lineRule="auto"/>
        <w:ind w:firstLine="567"/>
        <w:jc w:val="both"/>
        <w:rPr>
          <w:lang w:val="de-DE"/>
        </w:rPr>
      </w:pPr>
      <w:r w:rsidRPr="00190D72">
        <w:rPr>
          <w:lang w:val="de-DE"/>
        </w:rPr>
        <w:t>Tổng số người nhiễm HIV của cả nước hiện còn sống tính đến thời điểm 15/4/2018 là 209,4 nghìn người và số trường hợp đã chuyển sang giai đoạn AIDS là 90,7 nghìn người; số người tử vong do HIV/AIDS của cả nước tính đến thời điểm trên là 96,1 nghìn người.</w:t>
      </w:r>
    </w:p>
    <w:p w:rsidR="004A1DC5" w:rsidRPr="00190D72" w:rsidRDefault="004A1DC5" w:rsidP="00092690">
      <w:pPr>
        <w:pStyle w:val="normal0"/>
        <w:spacing w:before="40" w:beforeAutospacing="0" w:after="40" w:afterAutospacing="0" w:line="278" w:lineRule="auto"/>
        <w:ind w:firstLine="567"/>
        <w:jc w:val="both"/>
        <w:rPr>
          <w:b/>
          <w:bCs/>
          <w:i/>
          <w:iCs/>
          <w:sz w:val="28"/>
          <w:szCs w:val="28"/>
          <w:lang w:val="pl-PL"/>
        </w:rPr>
      </w:pPr>
      <w:r w:rsidRPr="00190D72">
        <w:rPr>
          <w:rStyle w:val="normalchar"/>
          <w:b/>
          <w:i/>
          <w:iCs/>
          <w:sz w:val="28"/>
          <w:szCs w:val="28"/>
          <w:lang w:val="nl-NL"/>
        </w:rPr>
        <w:t>c</w:t>
      </w:r>
      <w:r w:rsidRPr="00190D72">
        <w:rPr>
          <w:rStyle w:val="normalchar"/>
          <w:i/>
          <w:iCs/>
          <w:sz w:val="28"/>
          <w:szCs w:val="28"/>
          <w:lang w:val="nl-NL"/>
        </w:rPr>
        <w:t xml:space="preserve">. </w:t>
      </w:r>
      <w:r w:rsidRPr="00190D72">
        <w:rPr>
          <w:b/>
          <w:bCs/>
          <w:i/>
          <w:iCs/>
          <w:sz w:val="28"/>
          <w:szCs w:val="28"/>
          <w:lang w:val="pl-PL"/>
        </w:rPr>
        <w:t>Tai nạn giao thông</w:t>
      </w:r>
    </w:p>
    <w:p w:rsidR="004A1DC5" w:rsidRPr="00190D72" w:rsidRDefault="004A1DC5" w:rsidP="00092690">
      <w:pPr>
        <w:spacing w:before="40" w:after="40" w:line="278" w:lineRule="auto"/>
        <w:ind w:firstLine="567"/>
        <w:jc w:val="both"/>
        <w:rPr>
          <w:lang w:val="nl-NL"/>
        </w:rPr>
      </w:pPr>
      <w:r w:rsidRPr="00190D72">
        <w:rPr>
          <w:lang w:val="nl-NL"/>
        </w:rPr>
        <w:t xml:space="preserve">Trong tháng (từ 16/3 đến 15/4), trên địa bàn cả nước đã xảy ra 1.346 vụ tai nạn giao thông, bao gồm 708 vụ tai nạn giao thông từ ít nghiêm trọng trở lên và 638 vụ va chạm giao thông, làm 639 người chết, 356 người bị thương và 653 người bị thương nhẹ. So với cùng kỳ năm trước, số vụ tai nạn giao thông tháng Tư giảm 13,5% (Số vụ tai nạn giao thông từ ít nghiêm trọng trở lên giảm 7% và số vụ va chạm giao thông giảm 19,7%); số người chết giảm 6,2%; số người bị thương giảm 12,7% và số người bị thương nhẹ giảm 25,5%. </w:t>
      </w:r>
    </w:p>
    <w:p w:rsidR="004A1DC5" w:rsidRPr="00190D72" w:rsidRDefault="004A1DC5" w:rsidP="00952AE4">
      <w:pPr>
        <w:spacing w:before="40" w:after="40" w:line="283" w:lineRule="auto"/>
        <w:ind w:firstLine="567"/>
        <w:jc w:val="both"/>
        <w:rPr>
          <w:lang w:val="nl-NL"/>
        </w:rPr>
      </w:pPr>
      <w:r w:rsidRPr="00190D72">
        <w:rPr>
          <w:lang w:val="nl-NL"/>
        </w:rPr>
        <w:t>Tính chung 4 tháng đầu năm 2018, trên địa bàn cả nước đã xảy ra 6.020 vụ tai nạn giao thông, bao gồm 3.104 vụ tai nạn giao thông từ ít nghiêm trọng trở lên và 2.916 vụ va chạm giao thông, làm 2.788 người chết, 1.576 người bị thương và 3.060 người bị thương nhẹ. So với cùng kỳ năm trước, số vụ tai nạn giao thông trong 4 tháng đầu năm nay giảm 5,5% (Số vụ tai nạn giao thông từ ít nghiêm trọng trở lên giảm 3,4%; số vụ va chạm giao thông giảm 7,6%); số người chết giảm 0,3%; số người bị thương tăng 9,4% và số người bị thương nhẹ giảm 16,8%. Bình quân 1 ngày trong 4 tháng đầu năm, trên địa bàn cả nước xảy ra 50 vụ tai nạn giao thông, gồm 26 vụ tai nạn giao thông từ ít nghiêm trọng trở lên và 24 vụ va chạm giao thông, làm 23 người chết, 13 người bị thương và 25 người bị thương nhẹ.</w:t>
      </w:r>
    </w:p>
    <w:p w:rsidR="004A1DC5" w:rsidRPr="00190D72" w:rsidRDefault="004A1DC5" w:rsidP="00952AE4">
      <w:pPr>
        <w:spacing w:before="40" w:after="40" w:line="283" w:lineRule="auto"/>
        <w:ind w:firstLine="567"/>
        <w:jc w:val="both"/>
        <w:rPr>
          <w:b/>
          <w:i/>
          <w:lang w:val="sv-SE"/>
        </w:rPr>
      </w:pPr>
      <w:r w:rsidRPr="00190D72">
        <w:rPr>
          <w:b/>
          <w:i/>
          <w:lang w:val="sv-SE"/>
        </w:rPr>
        <w:t>d. Thiệt hại do thiên tai</w:t>
      </w:r>
    </w:p>
    <w:p w:rsidR="004A1DC5" w:rsidRPr="00190D72" w:rsidRDefault="004A1DC5" w:rsidP="00952AE4">
      <w:pPr>
        <w:pStyle w:val="Normal1"/>
        <w:spacing w:before="40" w:beforeAutospacing="0" w:after="40" w:afterAutospacing="0" w:line="283" w:lineRule="auto"/>
        <w:ind w:firstLine="567"/>
        <w:jc w:val="both"/>
        <w:rPr>
          <w:rFonts w:ascii="Times New Roman" w:hAnsi="Times New Roman" w:cs="Times New Roman"/>
          <w:sz w:val="28"/>
          <w:szCs w:val="28"/>
          <w:lang w:val="de-DE"/>
        </w:rPr>
      </w:pPr>
      <w:r w:rsidRPr="00190D72">
        <w:rPr>
          <w:rFonts w:ascii="Times New Roman" w:hAnsi="Times New Roman" w:cs="Times New Roman"/>
          <w:sz w:val="28"/>
          <w:szCs w:val="28"/>
          <w:lang w:val="de-DE"/>
        </w:rPr>
        <w:t>Thiên tai xảy trong tháng 4/2018</w:t>
      </w:r>
      <w:r w:rsidR="005E27AC" w:rsidRPr="00190D72">
        <w:rPr>
          <w:rFonts w:ascii="Times New Roman" w:hAnsi="Times New Roman" w:cs="Times New Roman"/>
          <w:sz w:val="28"/>
          <w:szCs w:val="28"/>
          <w:lang w:val="de-DE"/>
        </w:rPr>
        <w:t xml:space="preserve"> chủ yếu là mưa và giông lốc,</w:t>
      </w:r>
      <w:r w:rsidRPr="00190D72">
        <w:rPr>
          <w:rFonts w:ascii="Times New Roman" w:hAnsi="Times New Roman" w:cs="Times New Roman"/>
          <w:sz w:val="28"/>
          <w:szCs w:val="28"/>
          <w:lang w:val="de-DE"/>
        </w:rPr>
        <w:t xml:space="preserve"> làm 3 người chết</w:t>
      </w:r>
      <w:r w:rsidR="005E27AC" w:rsidRPr="00190D72">
        <w:rPr>
          <w:rFonts w:ascii="Times New Roman" w:hAnsi="Times New Roman" w:cs="Times New Roman"/>
          <w:sz w:val="28"/>
          <w:szCs w:val="28"/>
          <w:lang w:val="de-DE"/>
        </w:rPr>
        <w:t>,</w:t>
      </w:r>
      <w:r w:rsidRPr="00190D72">
        <w:rPr>
          <w:rFonts w:ascii="Times New Roman" w:hAnsi="Times New Roman" w:cs="Times New Roman"/>
          <w:sz w:val="28"/>
          <w:szCs w:val="28"/>
          <w:lang w:val="de-DE"/>
        </w:rPr>
        <w:t xml:space="preserve"> 10 người bị thương; 5</w:t>
      </w:r>
      <w:r w:rsidR="005E27AC" w:rsidRPr="00190D72">
        <w:rPr>
          <w:rFonts w:ascii="Times New Roman" w:hAnsi="Times New Roman" w:cs="Times New Roman"/>
          <w:sz w:val="28"/>
          <w:szCs w:val="28"/>
          <w:lang w:val="de-DE"/>
        </w:rPr>
        <w:t>,</w:t>
      </w:r>
      <w:r w:rsidRPr="00190D72">
        <w:rPr>
          <w:rFonts w:ascii="Times New Roman" w:hAnsi="Times New Roman" w:cs="Times New Roman"/>
          <w:sz w:val="28"/>
          <w:szCs w:val="28"/>
          <w:lang w:val="de-DE"/>
        </w:rPr>
        <w:t>7</w:t>
      </w:r>
      <w:r w:rsidR="005E27AC" w:rsidRPr="00190D72">
        <w:rPr>
          <w:rFonts w:ascii="Times New Roman" w:hAnsi="Times New Roman" w:cs="Times New Roman"/>
          <w:sz w:val="28"/>
          <w:szCs w:val="28"/>
          <w:lang w:val="de-DE"/>
        </w:rPr>
        <w:t xml:space="preserve"> nghìn</w:t>
      </w:r>
      <w:r w:rsidRPr="00190D72">
        <w:rPr>
          <w:rFonts w:ascii="Times New Roman" w:hAnsi="Times New Roman" w:cs="Times New Roman"/>
          <w:sz w:val="28"/>
          <w:szCs w:val="28"/>
          <w:lang w:val="de-DE"/>
        </w:rPr>
        <w:t xml:space="preserve"> ngôi nhà bị sập đổ, sạt lở, tốc mái; hơn 200 ha lúa và hoa màu bị hư hỏng. </w:t>
      </w:r>
      <w:r w:rsidR="005E27AC" w:rsidRPr="00190D72">
        <w:rPr>
          <w:rFonts w:ascii="Times New Roman" w:hAnsi="Times New Roman" w:cs="Times New Roman"/>
          <w:sz w:val="28"/>
          <w:szCs w:val="28"/>
          <w:lang w:val="de-DE"/>
        </w:rPr>
        <w:t>Theo báo cáo sơ bộ từ các địa phương, t</w:t>
      </w:r>
      <w:r w:rsidRPr="00190D72">
        <w:rPr>
          <w:rFonts w:ascii="Times New Roman" w:hAnsi="Times New Roman" w:cs="Times New Roman"/>
          <w:sz w:val="28"/>
          <w:szCs w:val="28"/>
          <w:lang w:val="de-DE"/>
        </w:rPr>
        <w:t>ổng giá trị thiệt hại do thiên tai gây ra trong tháng ước tính</w:t>
      </w:r>
      <w:r w:rsidR="008C134B" w:rsidRPr="00190D72">
        <w:rPr>
          <w:rFonts w:ascii="Times New Roman" w:hAnsi="Times New Roman" w:cs="Times New Roman"/>
          <w:sz w:val="28"/>
          <w:szCs w:val="28"/>
          <w:lang w:val="de-DE"/>
        </w:rPr>
        <w:t xml:space="preserve"> hơn</w:t>
      </w:r>
      <w:r w:rsidRPr="00190D72">
        <w:rPr>
          <w:rFonts w:ascii="Times New Roman" w:hAnsi="Times New Roman" w:cs="Times New Roman"/>
          <w:sz w:val="28"/>
          <w:szCs w:val="28"/>
          <w:lang w:val="de-DE"/>
        </w:rPr>
        <w:t xml:space="preserve"> 185 tỷ đồng. Tính chung 4 tháng đầu năm, thiên tai làm 3 người chết và 17 người bị thương; hơn 9,6 nghìn ngôi nhà bị sập đổ, sạt lở, tốc mái; 5,4 nghìn ha lúa và hoa màu bị hư hỏng. Tổng giá trị thiệt hại trong 4 tháng ước tính hơn 378 tỷ đồng. </w:t>
      </w:r>
    </w:p>
    <w:p w:rsidR="004A1DC5" w:rsidRPr="00190D72" w:rsidRDefault="004A1DC5" w:rsidP="00190D72">
      <w:pPr>
        <w:pStyle w:val="normal0"/>
        <w:spacing w:before="40" w:beforeAutospacing="0" w:after="40" w:afterAutospacing="0" w:line="288" w:lineRule="auto"/>
        <w:ind w:firstLine="567"/>
        <w:jc w:val="both"/>
        <w:rPr>
          <w:rStyle w:val="normalchar"/>
          <w:b/>
          <w:bCs/>
          <w:i/>
          <w:sz w:val="28"/>
          <w:szCs w:val="28"/>
          <w:lang w:val="nl-NL"/>
        </w:rPr>
      </w:pPr>
      <w:r w:rsidRPr="00190D72">
        <w:rPr>
          <w:rStyle w:val="normalchar"/>
          <w:b/>
          <w:bCs/>
          <w:i/>
          <w:iCs/>
          <w:sz w:val="28"/>
          <w:szCs w:val="28"/>
          <w:lang w:val="nl-NL"/>
        </w:rPr>
        <w:lastRenderedPageBreak/>
        <w:t xml:space="preserve">e. Bảo vệ môi trường </w:t>
      </w:r>
      <w:r w:rsidRPr="00190D72">
        <w:rPr>
          <w:rStyle w:val="normalchar"/>
          <w:b/>
          <w:bCs/>
          <w:i/>
          <w:sz w:val="28"/>
          <w:szCs w:val="28"/>
          <w:lang w:val="nl-NL"/>
        </w:rPr>
        <w:t>và phòng chống cháy, nổ</w:t>
      </w:r>
    </w:p>
    <w:p w:rsidR="004A1DC5" w:rsidRPr="00190D72" w:rsidRDefault="004A1DC5" w:rsidP="00190D72">
      <w:pPr>
        <w:pStyle w:val="Normal1"/>
        <w:spacing w:before="40" w:beforeAutospacing="0" w:after="40" w:afterAutospacing="0" w:line="288" w:lineRule="auto"/>
        <w:ind w:firstLine="567"/>
        <w:jc w:val="both"/>
        <w:rPr>
          <w:rFonts w:ascii="Times New Roman" w:hAnsi="Times New Roman" w:cs="Times New Roman"/>
          <w:sz w:val="28"/>
          <w:szCs w:val="28"/>
          <w:lang w:val="de-DE"/>
        </w:rPr>
      </w:pPr>
      <w:r w:rsidRPr="00190D72">
        <w:rPr>
          <w:rFonts w:ascii="Times New Roman" w:hAnsi="Times New Roman" w:cs="Times New Roman"/>
          <w:sz w:val="28"/>
          <w:szCs w:val="28"/>
          <w:lang w:val="de-DE"/>
        </w:rPr>
        <w:t xml:space="preserve">Trong tháng Tư, cơ quan chức năng đã phát hiện 864 vụ vi phạm môi trường, trong đó xử lý 820 vụ với tổng số tiền phạt hơn 10,4 tỷ đồng. Tính chung 4 tháng đầu năm đã phát hiện 5.124 vụ vi phạm môi trường trên địa bàn cả nước, trong đó xử lý 4.749 vụ với tổng số tiền phạt 66,2 tỷ đồng. </w:t>
      </w:r>
    </w:p>
    <w:p w:rsidR="00A64797" w:rsidRPr="00190D72" w:rsidRDefault="004A1DC5" w:rsidP="00190D72">
      <w:pPr>
        <w:pStyle w:val="Normal1"/>
        <w:spacing w:before="40" w:beforeAutospacing="0" w:after="40" w:afterAutospacing="0" w:line="288" w:lineRule="auto"/>
        <w:ind w:firstLine="567"/>
        <w:jc w:val="both"/>
        <w:rPr>
          <w:rFonts w:ascii="Times New Roman" w:hAnsi="Times New Roman" w:cs="Times New Roman"/>
          <w:sz w:val="28"/>
          <w:szCs w:val="28"/>
          <w:lang w:val="de-DE"/>
        </w:rPr>
      </w:pPr>
      <w:r w:rsidRPr="00190D72">
        <w:rPr>
          <w:rFonts w:ascii="Times New Roman" w:hAnsi="Times New Roman" w:cs="Times New Roman"/>
          <w:sz w:val="28"/>
          <w:szCs w:val="28"/>
          <w:lang w:val="de-DE"/>
        </w:rPr>
        <w:t>Trong tháng 4/2018, trên địa bàn cả nước xảy ra 368 vụ cháy, nổ, làm 21 người chết và 75 người bị thương, thiệt hại ước tính 426,5 tỷ đồng. Tính chung 4 tháng đầu năm nay, cả nước xảy ra 1.453 vụ cháy, nổ, làm 54 người chết và 141 người bị thương, thiệt hại ước tính khoảng 8</w:t>
      </w:r>
      <w:r w:rsidR="00E304D8">
        <w:rPr>
          <w:rFonts w:ascii="Times New Roman" w:hAnsi="Times New Roman" w:cs="Times New Roman"/>
          <w:sz w:val="28"/>
          <w:szCs w:val="28"/>
          <w:lang w:val="de-DE"/>
        </w:rPr>
        <w:t>40</w:t>
      </w:r>
      <w:r w:rsidRPr="00190D72">
        <w:rPr>
          <w:rFonts w:ascii="Times New Roman" w:hAnsi="Times New Roman" w:cs="Times New Roman"/>
          <w:sz w:val="28"/>
          <w:szCs w:val="28"/>
          <w:lang w:val="de-DE"/>
        </w:rPr>
        <w:t xml:space="preserve"> tỷ đồng./.</w:t>
      </w:r>
    </w:p>
    <w:p w:rsidR="0035708D" w:rsidRPr="0035708D" w:rsidRDefault="0035708D" w:rsidP="004A1DC5">
      <w:pPr>
        <w:pStyle w:val="Normal1"/>
        <w:spacing w:before="40" w:beforeAutospacing="0" w:after="40" w:afterAutospacing="0" w:line="288" w:lineRule="auto"/>
        <w:ind w:firstLine="567"/>
        <w:jc w:val="both"/>
        <w:rPr>
          <w:rFonts w:ascii="Times New Roman" w:hAnsi="Times New Roman" w:cs="Times New Roman"/>
          <w:sz w:val="18"/>
          <w:szCs w:val="28"/>
          <w:lang w:val="de-DE"/>
        </w:rPr>
      </w:pPr>
    </w:p>
    <w:p w:rsidR="001E6D2D" w:rsidRPr="00A14625" w:rsidRDefault="001E6D2D" w:rsidP="00D32CF5">
      <w:pPr>
        <w:pStyle w:val="NormalWeb"/>
        <w:shd w:val="clear" w:color="auto" w:fill="FFFFFF"/>
        <w:tabs>
          <w:tab w:val="left" w:pos="6540"/>
        </w:tabs>
        <w:spacing w:before="0" w:beforeAutospacing="0" w:after="0" w:afterAutospacing="0"/>
        <w:ind w:firstLine="4768"/>
        <w:jc w:val="center"/>
        <w:rPr>
          <w:b/>
          <w:bCs/>
          <w:sz w:val="12"/>
          <w:szCs w:val="28"/>
          <w:lang w:val="pt-BR"/>
        </w:rPr>
      </w:pPr>
    </w:p>
    <w:p w:rsidR="003A35EA" w:rsidRPr="00E90C17" w:rsidRDefault="003A35EA" w:rsidP="00D32CF5">
      <w:pPr>
        <w:pStyle w:val="NormalWeb"/>
        <w:shd w:val="clear" w:color="auto" w:fill="FFFFFF"/>
        <w:tabs>
          <w:tab w:val="left" w:pos="6540"/>
        </w:tabs>
        <w:spacing w:before="0" w:beforeAutospacing="0" w:after="0" w:afterAutospacing="0"/>
        <w:ind w:firstLine="4768"/>
        <w:jc w:val="center"/>
        <w:rPr>
          <w:b/>
          <w:bCs/>
          <w:sz w:val="28"/>
          <w:szCs w:val="28"/>
          <w:lang w:val="pt-BR"/>
        </w:rPr>
      </w:pPr>
      <w:r w:rsidRPr="00E90C17">
        <w:rPr>
          <w:b/>
          <w:bCs/>
          <w:sz w:val="28"/>
          <w:szCs w:val="28"/>
          <w:lang w:val="pt-BR"/>
        </w:rPr>
        <w:t>TỔNG CỤC TRƯỞNG</w:t>
      </w:r>
    </w:p>
    <w:p w:rsidR="003A35EA" w:rsidRDefault="003A35EA" w:rsidP="00D06FF7">
      <w:pPr>
        <w:spacing w:before="40" w:after="40" w:line="288" w:lineRule="auto"/>
        <w:ind w:firstLine="4770"/>
        <w:jc w:val="center"/>
        <w:rPr>
          <w:b/>
          <w:bCs/>
        </w:rPr>
      </w:pPr>
    </w:p>
    <w:p w:rsidR="00A14625" w:rsidRPr="00F84CA2" w:rsidRDefault="00A14625" w:rsidP="00D06FF7">
      <w:pPr>
        <w:spacing w:before="40" w:after="40" w:line="288" w:lineRule="auto"/>
        <w:ind w:firstLine="4770"/>
        <w:jc w:val="center"/>
        <w:rPr>
          <w:b/>
          <w:bCs/>
          <w:sz w:val="56"/>
        </w:rPr>
      </w:pPr>
    </w:p>
    <w:p w:rsidR="00A14625" w:rsidRPr="00471D6D" w:rsidRDefault="00A14625" w:rsidP="00D06FF7">
      <w:pPr>
        <w:spacing w:before="40" w:after="40" w:line="288" w:lineRule="auto"/>
        <w:ind w:firstLine="4770"/>
        <w:jc w:val="center"/>
        <w:rPr>
          <w:b/>
          <w:bCs/>
          <w:sz w:val="6"/>
        </w:rPr>
      </w:pPr>
    </w:p>
    <w:p w:rsidR="00A14625" w:rsidRPr="00A14625" w:rsidRDefault="00A14625" w:rsidP="00D06FF7">
      <w:pPr>
        <w:spacing w:before="40" w:after="40" w:line="288" w:lineRule="auto"/>
        <w:ind w:firstLine="4770"/>
        <w:jc w:val="center"/>
        <w:rPr>
          <w:b/>
          <w:bCs/>
          <w:sz w:val="8"/>
        </w:rPr>
      </w:pPr>
    </w:p>
    <w:p w:rsidR="00591556" w:rsidRDefault="00591556" w:rsidP="00D06FF7">
      <w:pPr>
        <w:spacing w:before="40" w:after="40" w:line="288" w:lineRule="auto"/>
        <w:ind w:firstLine="4770"/>
        <w:jc w:val="center"/>
        <w:rPr>
          <w:b/>
          <w:bCs/>
        </w:rPr>
      </w:pPr>
    </w:p>
    <w:p w:rsidR="00591556" w:rsidRPr="00E90C17" w:rsidRDefault="00834F0D" w:rsidP="00D06FF7">
      <w:pPr>
        <w:spacing w:before="40" w:after="40" w:line="288" w:lineRule="auto"/>
        <w:ind w:firstLine="4770"/>
        <w:jc w:val="center"/>
        <w:rPr>
          <w:b/>
          <w:bCs/>
        </w:rPr>
      </w:pPr>
      <w:r>
        <w:rPr>
          <w:b/>
          <w:bCs/>
        </w:rPr>
        <w:t>Nguyễn Bích Lâm</w:t>
      </w:r>
    </w:p>
    <w:sectPr w:rsidR="00591556" w:rsidRPr="00E90C17" w:rsidSect="009C3F89">
      <w:headerReference w:type="default" r:id="rId8"/>
      <w:pgSz w:w="11907" w:h="16840" w:code="9"/>
      <w:pgMar w:top="1077" w:right="1134" w:bottom="1134" w:left="1797" w:header="505"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893" w:rsidRDefault="00D66893" w:rsidP="001A07A9">
      <w:r>
        <w:separator/>
      </w:r>
    </w:p>
  </w:endnote>
  <w:endnote w:type="continuationSeparator" w:id="1">
    <w:p w:rsidR="00D66893" w:rsidRDefault="00D66893" w:rsidP="001A0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893" w:rsidRDefault="00D66893" w:rsidP="001A07A9">
      <w:r>
        <w:separator/>
      </w:r>
    </w:p>
  </w:footnote>
  <w:footnote w:type="continuationSeparator" w:id="1">
    <w:p w:rsidR="00D66893" w:rsidRDefault="00D66893" w:rsidP="001A07A9">
      <w:r>
        <w:continuationSeparator/>
      </w:r>
    </w:p>
  </w:footnote>
  <w:footnote w:id="2">
    <w:p w:rsidR="00D66893" w:rsidRPr="00050B6D" w:rsidRDefault="00D66893" w:rsidP="00050B6D">
      <w:pPr>
        <w:pStyle w:val="FootnoteText"/>
        <w:spacing w:before="40"/>
        <w:ind w:left="142" w:hanging="142"/>
        <w:jc w:val="both"/>
        <w:rPr>
          <w:rFonts w:ascii="Arial" w:hAnsi="Arial" w:cs="Arial"/>
          <w:sz w:val="18"/>
          <w:lang w:val="en-GB"/>
        </w:rPr>
      </w:pPr>
      <w:r w:rsidRPr="00050B6D">
        <w:rPr>
          <w:rStyle w:val="FootnoteReference"/>
          <w:rFonts w:ascii="Arial" w:hAnsi="Arial" w:cs="Arial"/>
          <w:sz w:val="18"/>
        </w:rPr>
        <w:footnoteRef/>
      </w:r>
      <w:r w:rsidRPr="00050B6D">
        <w:rPr>
          <w:rFonts w:ascii="Arial" w:hAnsi="Arial" w:cs="Arial"/>
          <w:sz w:val="18"/>
        </w:rPr>
        <w:t xml:space="preserve"> Bao gồm: Gần 3 nghìn ha đất thu hồi, giải tỏa để làm khu công nghiệp, làm đường, xây dựng cơ sở hạ tầng khu du lịch, khu đô thị mới; chuyển đổi 2,1 nghìn ha sang trồng cây lâu năm, gần 1,5 nghìn ha sang trồng cây hàng năm khác và 960 ha sang nuôi trồng thủy sản; 3,9 nghìn ha đất không sản xuất do ảnh hưởng của thời tiết, đất bị ô nhiễm, bỏ hoang.</w:t>
      </w:r>
    </w:p>
  </w:footnote>
  <w:footnote w:id="3">
    <w:p w:rsidR="00D66893" w:rsidRPr="00050B6D" w:rsidRDefault="00D66893" w:rsidP="00050B6D">
      <w:pPr>
        <w:pStyle w:val="FootnoteText"/>
        <w:spacing w:before="40"/>
        <w:ind w:left="142" w:hanging="142"/>
        <w:jc w:val="both"/>
        <w:rPr>
          <w:sz w:val="18"/>
        </w:rPr>
      </w:pPr>
      <w:r w:rsidRPr="00050B6D">
        <w:rPr>
          <w:rStyle w:val="FootnoteReference"/>
          <w:rFonts w:ascii="Arial" w:hAnsi="Arial" w:cs="Arial"/>
          <w:sz w:val="18"/>
        </w:rPr>
        <w:footnoteRef/>
      </w:r>
      <w:r w:rsidRPr="00050B6D">
        <w:rPr>
          <w:rFonts w:ascii="Arial" w:hAnsi="Arial" w:cs="Arial"/>
          <w:sz w:val="18"/>
        </w:rPr>
        <w:t xml:space="preserve"> </w:t>
      </w:r>
      <w:r w:rsidRPr="00050B6D">
        <w:rPr>
          <w:rFonts w:ascii="Arial" w:hAnsi="Arial" w:cs="Arial"/>
          <w:sz w:val="18"/>
          <w:lang w:val="pt-BR"/>
        </w:rPr>
        <w:t>Một số địa phương có năng suất lúa đông xuân tăng cao so với vụ đông xuân năm trước: Bến Tre tăng 9,1 tạ/ha; Đồng Tháp tăng 8,2 tạ/ha; Cần Thơ tăng 6,5 tạ/ha; Kiên Giang tăng 6,3 tạ/ha; Tiền Giang tăng 4,7 tạ/ha.</w:t>
      </w:r>
      <w:r w:rsidRPr="00050B6D">
        <w:rPr>
          <w:sz w:val="18"/>
        </w:rPr>
        <w:t xml:space="preserve"> </w:t>
      </w:r>
    </w:p>
  </w:footnote>
  <w:footnote w:id="4">
    <w:p w:rsidR="00D66893" w:rsidRPr="00AF11A9" w:rsidRDefault="00D66893" w:rsidP="00050B6D">
      <w:pPr>
        <w:pStyle w:val="FootnoteText"/>
        <w:spacing w:before="40"/>
        <w:ind w:left="142" w:hanging="142"/>
        <w:jc w:val="both"/>
        <w:rPr>
          <w:rFonts w:ascii="Arial" w:hAnsi="Arial" w:cs="Arial"/>
        </w:rPr>
      </w:pPr>
      <w:r w:rsidRPr="00050B6D">
        <w:rPr>
          <w:rStyle w:val="FootnoteReference"/>
          <w:rFonts w:ascii="Arial" w:hAnsi="Arial" w:cs="Arial"/>
          <w:sz w:val="18"/>
        </w:rPr>
        <w:footnoteRef/>
      </w:r>
      <w:r w:rsidRPr="00050B6D">
        <w:rPr>
          <w:rFonts w:ascii="Arial" w:hAnsi="Arial" w:cs="Arial"/>
          <w:sz w:val="18"/>
        </w:rPr>
        <w:t xml:space="preserve"> </w:t>
      </w:r>
      <w:r w:rsidRPr="00050B6D">
        <w:rPr>
          <w:rFonts w:ascii="Arial" w:hAnsi="Arial" w:cs="Arial"/>
          <w:sz w:val="18"/>
          <w:lang w:val="pt-BR"/>
        </w:rPr>
        <w:t>Một số địa phương có sản lượng lúa đông xuân tăng cao so với vụ đông xuân năm trước: Đồng Tháp tăng 1</w:t>
      </w:r>
      <w:r w:rsidRPr="00050B6D">
        <w:rPr>
          <w:rFonts w:ascii="Arial" w:hAnsi="Arial" w:cs="Arial"/>
          <w:spacing w:val="-2"/>
          <w:sz w:val="18"/>
          <w:lang w:val="pt-BR"/>
        </w:rPr>
        <w:t>48,6 nghìn tấn; Kiên Giang tăng gần 130 nghìn tấn; Long An tăng 94,9 nghìn tấn; Trà Vinh tăng 69,1 nghìn tấn.</w:t>
      </w:r>
    </w:p>
  </w:footnote>
  <w:footnote w:id="5">
    <w:p w:rsidR="00D66893" w:rsidRPr="005C1133" w:rsidRDefault="00D66893" w:rsidP="00256661">
      <w:pPr>
        <w:pStyle w:val="FootnoteText"/>
        <w:ind w:left="142" w:hanging="142"/>
        <w:jc w:val="both"/>
        <w:rPr>
          <w:rFonts w:ascii="Arial" w:hAnsi="Arial" w:cs="Arial"/>
          <w:lang w:val="en-GB"/>
        </w:rPr>
      </w:pPr>
      <w:r w:rsidRPr="00050B6D">
        <w:rPr>
          <w:rStyle w:val="FootnoteReference"/>
          <w:rFonts w:ascii="Arial" w:hAnsi="Arial" w:cs="Arial"/>
          <w:sz w:val="18"/>
        </w:rPr>
        <w:footnoteRef/>
      </w:r>
      <w:r w:rsidRPr="00050B6D">
        <w:rPr>
          <w:rFonts w:ascii="Arial" w:hAnsi="Arial" w:cs="Arial"/>
          <w:sz w:val="18"/>
        </w:rPr>
        <w:t xml:space="preserve"> Trong đó, 4 tháng đầu năm 2017 ngành chế biến, chế tạo tăng 9,5% so với cùng kỳ năm trước; sản xuất và phân phối điện tăng 10%; cung cấp nước và xử lý rác thải, nước tăng 7,6%; khai khoáng giảm 7,6%.</w:t>
      </w:r>
    </w:p>
  </w:footnote>
  <w:footnote w:id="6">
    <w:p w:rsidR="00D66893" w:rsidRPr="008D0FA8" w:rsidRDefault="00D66893" w:rsidP="008D0FA8">
      <w:pPr>
        <w:pStyle w:val="FootnoteText"/>
        <w:spacing w:before="40"/>
        <w:ind w:left="142" w:hanging="142"/>
        <w:jc w:val="both"/>
        <w:rPr>
          <w:rFonts w:ascii="Arial" w:hAnsi="Arial" w:cs="Arial"/>
          <w:sz w:val="18"/>
        </w:rPr>
      </w:pPr>
      <w:r w:rsidRPr="008D0FA8">
        <w:rPr>
          <w:rStyle w:val="FootnoteReference"/>
          <w:rFonts w:ascii="Arial" w:hAnsi="Arial" w:cs="Arial"/>
          <w:sz w:val="18"/>
        </w:rPr>
        <w:footnoteRef/>
      </w:r>
      <w:r w:rsidRPr="008D0FA8">
        <w:rPr>
          <w:rFonts w:ascii="Arial" w:hAnsi="Arial" w:cs="Arial"/>
          <w:sz w:val="18"/>
        </w:rPr>
        <w:t xml:space="preserve"> </w:t>
      </w:r>
      <w:r w:rsidRPr="008D0FA8">
        <w:rPr>
          <w:rFonts w:ascii="Arial" w:hAnsi="Arial" w:cs="Arial"/>
          <w:spacing w:val="2"/>
          <w:sz w:val="18"/>
        </w:rPr>
        <w:t>Nguồn: Hệ thống thông tin đăng ký doanh nghiệp quốc gia, Cục Quản lý đăng ký kinh doanh,</w:t>
      </w:r>
      <w:r w:rsidRPr="008D0FA8">
        <w:rPr>
          <w:rFonts w:ascii="Arial" w:hAnsi="Arial" w:cs="Arial"/>
          <w:sz w:val="18"/>
        </w:rPr>
        <w:t xml:space="preserve"> Bộ Kế hoạch và Đầu tư.</w:t>
      </w:r>
    </w:p>
  </w:footnote>
  <w:footnote w:id="7">
    <w:p w:rsidR="00D66893" w:rsidRPr="008D0FA8" w:rsidRDefault="00D66893" w:rsidP="008D0FA8">
      <w:pPr>
        <w:pStyle w:val="FootnoteText"/>
        <w:spacing w:before="40"/>
        <w:ind w:left="227" w:hanging="227"/>
        <w:jc w:val="both"/>
        <w:rPr>
          <w:rFonts w:ascii="Arial" w:hAnsi="Arial" w:cs="Arial"/>
          <w:sz w:val="18"/>
        </w:rPr>
      </w:pPr>
      <w:r w:rsidRPr="008D0FA8">
        <w:rPr>
          <w:rStyle w:val="FootnoteReference"/>
          <w:rFonts w:ascii="Arial" w:hAnsi="Arial" w:cs="Arial"/>
          <w:sz w:val="18"/>
        </w:rPr>
        <w:footnoteRef/>
      </w:r>
      <w:r w:rsidRPr="008D0FA8">
        <w:rPr>
          <w:rFonts w:ascii="Arial" w:hAnsi="Arial" w:cs="Arial"/>
          <w:sz w:val="18"/>
        </w:rPr>
        <w:t xml:space="preserve"> So với cùng kỳ năm trước, số doanh nghiệp tăng 10,7%; số vốn đăng ký tăng 35,7%.</w:t>
      </w:r>
    </w:p>
  </w:footnote>
  <w:footnote w:id="8">
    <w:p w:rsidR="00D66893" w:rsidRPr="00CA76FF" w:rsidRDefault="00D66893" w:rsidP="008D0FA8">
      <w:pPr>
        <w:pStyle w:val="FootnoteText"/>
        <w:spacing w:before="40"/>
        <w:ind w:left="113" w:hanging="113"/>
        <w:jc w:val="both"/>
      </w:pPr>
      <w:r w:rsidRPr="008D0FA8">
        <w:rPr>
          <w:rStyle w:val="FootnoteReference"/>
          <w:rFonts w:ascii="Arial" w:hAnsi="Arial" w:cs="Arial"/>
          <w:sz w:val="18"/>
        </w:rPr>
        <w:footnoteRef/>
      </w:r>
      <w:r w:rsidRPr="008D0FA8">
        <w:rPr>
          <w:rFonts w:ascii="Arial" w:hAnsi="Arial" w:cs="Arial"/>
          <w:sz w:val="18"/>
        </w:rPr>
        <w:t xml:space="preserve"> </w:t>
      </w:r>
      <w:r w:rsidRPr="008D0FA8">
        <w:rPr>
          <w:rFonts w:ascii="Arial" w:hAnsi="Arial" w:cs="Arial"/>
          <w:spacing w:val="-4"/>
          <w:sz w:val="18"/>
        </w:rPr>
        <w:t xml:space="preserve">4 tháng </w:t>
      </w:r>
      <w:r w:rsidRPr="008D0FA8">
        <w:rPr>
          <w:rFonts w:ascii="Arial" w:hAnsi="Arial" w:cs="Arial"/>
          <w:spacing w:val="-4"/>
          <w:sz w:val="18"/>
          <w:lang w:val="it-IT"/>
        </w:rPr>
        <w:t>năm 2017, số doanh nghiệp đăng ký thành lập mới tăng 14% so với cùng kỳ năm trước; số vốn đăng ký tăng 48,9%; vốn đăng ký bình quân 1 doanh nghiệp tăng 30,6%.</w:t>
      </w:r>
    </w:p>
  </w:footnote>
  <w:footnote w:id="9">
    <w:p w:rsidR="00D66893" w:rsidRPr="008D0FA8" w:rsidRDefault="00D66893" w:rsidP="008D0FA8">
      <w:pPr>
        <w:pStyle w:val="FootnoteText"/>
        <w:spacing w:before="40"/>
        <w:jc w:val="both"/>
        <w:rPr>
          <w:rFonts w:ascii="Arial" w:hAnsi="Arial" w:cs="Arial"/>
          <w:sz w:val="18"/>
        </w:rPr>
      </w:pPr>
      <w:r w:rsidRPr="008D0FA8">
        <w:rPr>
          <w:rStyle w:val="FootnoteReference"/>
          <w:rFonts w:ascii="Arial" w:hAnsi="Arial" w:cs="Arial"/>
          <w:sz w:val="18"/>
        </w:rPr>
        <w:footnoteRef/>
      </w:r>
      <w:r w:rsidRPr="008D0FA8">
        <w:rPr>
          <w:rFonts w:ascii="Arial" w:hAnsi="Arial" w:cs="Arial"/>
          <w:sz w:val="18"/>
        </w:rPr>
        <w:t xml:space="preserve"> Ước tính tháng Ba xuất siêu 800 triệu USD.</w:t>
      </w:r>
    </w:p>
  </w:footnote>
  <w:footnote w:id="10">
    <w:p w:rsidR="00D66893" w:rsidRDefault="00D66893" w:rsidP="008D0FA8">
      <w:pPr>
        <w:pStyle w:val="FootnoteText"/>
        <w:spacing w:before="40"/>
        <w:ind w:left="142" w:hanging="142"/>
        <w:jc w:val="both"/>
      </w:pPr>
      <w:r w:rsidRPr="008D0FA8">
        <w:rPr>
          <w:rStyle w:val="FootnoteReference"/>
          <w:rFonts w:ascii="Arial" w:hAnsi="Arial" w:cs="Arial"/>
          <w:sz w:val="18"/>
        </w:rPr>
        <w:footnoteRef/>
      </w:r>
      <w:r w:rsidRPr="008D0FA8">
        <w:rPr>
          <w:rFonts w:ascii="Arial" w:hAnsi="Arial" w:cs="Arial"/>
          <w:sz w:val="18"/>
        </w:rPr>
        <w:t xml:space="preserve"> </w:t>
      </w:r>
      <w:r w:rsidRPr="008D0FA8">
        <w:rPr>
          <w:rFonts w:ascii="Arial" w:hAnsi="Arial" w:cs="Arial"/>
          <w:spacing w:val="-2"/>
          <w:sz w:val="18"/>
        </w:rPr>
        <w:t>Trong đó, 4 tháng đầu năm nhập siêu từ Hàn Quốc 9,7 tỷ USD, giảm 2,9% so với cùng kỳ năm trước;</w:t>
      </w:r>
      <w:r w:rsidRPr="008D0FA8">
        <w:rPr>
          <w:rFonts w:ascii="Arial" w:hAnsi="Arial" w:cs="Arial"/>
          <w:sz w:val="18"/>
        </w:rPr>
        <w:t xml:space="preserve"> nhập siêu từ Trung Quốc 7,3 tỷ USD, giảm 16,2%.</w:t>
      </w:r>
    </w:p>
  </w:footnote>
  <w:footnote w:id="11">
    <w:p w:rsidR="00D66893" w:rsidRPr="00952AE4" w:rsidRDefault="00D66893" w:rsidP="00952AE4">
      <w:pPr>
        <w:pStyle w:val="FootnoteText"/>
        <w:ind w:left="187" w:hanging="187"/>
        <w:jc w:val="both"/>
        <w:rPr>
          <w:rFonts w:ascii="Arial" w:hAnsi="Arial" w:cs="Arial"/>
        </w:rPr>
      </w:pPr>
      <w:r w:rsidRPr="008D0FA8">
        <w:rPr>
          <w:rStyle w:val="FootnoteReference"/>
          <w:rFonts w:ascii="Arial" w:hAnsi="Arial" w:cs="Arial"/>
          <w:sz w:val="18"/>
        </w:rPr>
        <w:footnoteRef/>
      </w:r>
      <w:r w:rsidRPr="008D0FA8">
        <w:rPr>
          <w:rFonts w:ascii="Arial" w:hAnsi="Arial" w:cs="Arial"/>
          <w:sz w:val="18"/>
        </w:rPr>
        <w:t xml:space="preserve"> </w:t>
      </w:r>
      <w:r w:rsidRPr="008D0FA8">
        <w:rPr>
          <w:rFonts w:ascii="Arial" w:hAnsi="Arial" w:cs="Arial"/>
          <w:spacing w:val="-4"/>
          <w:sz w:val="18"/>
        </w:rPr>
        <w:t>Tháng 4/2015: 33,6 nghìn hộ thiếu đói và 142,4 nghìn nhân khẩu thiếu đói; tháng 4/2016: 24 nghìn hộ</w:t>
      </w:r>
      <w:r w:rsidRPr="008D0FA8">
        <w:rPr>
          <w:rFonts w:ascii="Arial" w:hAnsi="Arial" w:cs="Arial"/>
          <w:sz w:val="18"/>
        </w:rPr>
        <w:t xml:space="preserve"> và 104,2 nghìn nhân khẩu; tháng 4/2017: 17,6 nghìn hộ và 74,5 nghìn nhân khẩu.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93" w:rsidRPr="002E2E79" w:rsidRDefault="0022317F">
    <w:pPr>
      <w:pStyle w:val="Header"/>
      <w:jc w:val="center"/>
      <w:rPr>
        <w:sz w:val="24"/>
        <w:szCs w:val="24"/>
      </w:rPr>
    </w:pPr>
    <w:r w:rsidRPr="002E2E79">
      <w:rPr>
        <w:sz w:val="24"/>
        <w:szCs w:val="24"/>
      </w:rPr>
      <w:fldChar w:fldCharType="begin"/>
    </w:r>
    <w:r w:rsidR="00D66893" w:rsidRPr="002E2E79">
      <w:rPr>
        <w:sz w:val="24"/>
        <w:szCs w:val="24"/>
      </w:rPr>
      <w:instrText xml:space="preserve"> PAGE   \* MERGEFORMAT </w:instrText>
    </w:r>
    <w:r w:rsidRPr="002E2E79">
      <w:rPr>
        <w:sz w:val="24"/>
        <w:szCs w:val="24"/>
      </w:rPr>
      <w:fldChar w:fldCharType="separate"/>
    </w:r>
    <w:r w:rsidR="006D5B6E">
      <w:rPr>
        <w:noProof/>
        <w:sz w:val="24"/>
        <w:szCs w:val="24"/>
      </w:rPr>
      <w:t>17</w:t>
    </w:r>
    <w:r w:rsidRPr="002E2E79">
      <w:rPr>
        <w:sz w:val="24"/>
        <w:szCs w:val="24"/>
      </w:rPr>
      <w:fldChar w:fldCharType="end"/>
    </w:r>
  </w:p>
  <w:p w:rsidR="00D66893" w:rsidRDefault="00D668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B5A09"/>
    <w:multiLevelType w:val="hybridMultilevel"/>
    <w:tmpl w:val="E242A0A0"/>
    <w:lvl w:ilvl="0" w:tplc="DEFAB6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A190281"/>
    <w:multiLevelType w:val="hybridMultilevel"/>
    <w:tmpl w:val="29E6A5A4"/>
    <w:lvl w:ilvl="0" w:tplc="F4002D4C">
      <w:start w:val="3"/>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2">
    <w:nsid w:val="6C15253D"/>
    <w:multiLevelType w:val="hybridMultilevel"/>
    <w:tmpl w:val="31AC050A"/>
    <w:lvl w:ilvl="0" w:tplc="CBAAC4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A76468"/>
    <w:rsid w:val="0000060A"/>
    <w:rsid w:val="00000A13"/>
    <w:rsid w:val="0000106D"/>
    <w:rsid w:val="00001C22"/>
    <w:rsid w:val="000036C2"/>
    <w:rsid w:val="0000461D"/>
    <w:rsid w:val="0000480E"/>
    <w:rsid w:val="00005622"/>
    <w:rsid w:val="0000631B"/>
    <w:rsid w:val="000071F9"/>
    <w:rsid w:val="000111B7"/>
    <w:rsid w:val="00011FBD"/>
    <w:rsid w:val="00012187"/>
    <w:rsid w:val="00012976"/>
    <w:rsid w:val="00012C2C"/>
    <w:rsid w:val="00013D33"/>
    <w:rsid w:val="000143C8"/>
    <w:rsid w:val="00014846"/>
    <w:rsid w:val="00014A30"/>
    <w:rsid w:val="00014AB2"/>
    <w:rsid w:val="000154AA"/>
    <w:rsid w:val="00016203"/>
    <w:rsid w:val="0001752D"/>
    <w:rsid w:val="00020671"/>
    <w:rsid w:val="00022151"/>
    <w:rsid w:val="00022B6E"/>
    <w:rsid w:val="00023FC2"/>
    <w:rsid w:val="00024AC9"/>
    <w:rsid w:val="00025359"/>
    <w:rsid w:val="0002579C"/>
    <w:rsid w:val="000277B8"/>
    <w:rsid w:val="00030096"/>
    <w:rsid w:val="00030AF3"/>
    <w:rsid w:val="00030D8A"/>
    <w:rsid w:val="000319D7"/>
    <w:rsid w:val="0003230D"/>
    <w:rsid w:val="00033079"/>
    <w:rsid w:val="00034406"/>
    <w:rsid w:val="00036452"/>
    <w:rsid w:val="00040137"/>
    <w:rsid w:val="000420D5"/>
    <w:rsid w:val="00042223"/>
    <w:rsid w:val="00042EB9"/>
    <w:rsid w:val="00044A7D"/>
    <w:rsid w:val="00045745"/>
    <w:rsid w:val="00045C3C"/>
    <w:rsid w:val="000461E1"/>
    <w:rsid w:val="000463F1"/>
    <w:rsid w:val="00046995"/>
    <w:rsid w:val="00046EB2"/>
    <w:rsid w:val="000506B5"/>
    <w:rsid w:val="00050839"/>
    <w:rsid w:val="00050A08"/>
    <w:rsid w:val="00050B6D"/>
    <w:rsid w:val="00051916"/>
    <w:rsid w:val="00055398"/>
    <w:rsid w:val="0005565B"/>
    <w:rsid w:val="00055C58"/>
    <w:rsid w:val="00056734"/>
    <w:rsid w:val="000601AD"/>
    <w:rsid w:val="00060A18"/>
    <w:rsid w:val="00060EF3"/>
    <w:rsid w:val="00061C45"/>
    <w:rsid w:val="00062BEB"/>
    <w:rsid w:val="00062D3D"/>
    <w:rsid w:val="00062EB5"/>
    <w:rsid w:val="00062FE7"/>
    <w:rsid w:val="00063509"/>
    <w:rsid w:val="0006483F"/>
    <w:rsid w:val="0006495B"/>
    <w:rsid w:val="0006555A"/>
    <w:rsid w:val="000658A7"/>
    <w:rsid w:val="00065CCF"/>
    <w:rsid w:val="0006703E"/>
    <w:rsid w:val="000712EE"/>
    <w:rsid w:val="00072295"/>
    <w:rsid w:val="00072810"/>
    <w:rsid w:val="00072939"/>
    <w:rsid w:val="00072A12"/>
    <w:rsid w:val="0007467D"/>
    <w:rsid w:val="00074861"/>
    <w:rsid w:val="0007509B"/>
    <w:rsid w:val="0007626A"/>
    <w:rsid w:val="00076466"/>
    <w:rsid w:val="00076F40"/>
    <w:rsid w:val="0007721A"/>
    <w:rsid w:val="0007787D"/>
    <w:rsid w:val="00077957"/>
    <w:rsid w:val="000809AB"/>
    <w:rsid w:val="00082EDE"/>
    <w:rsid w:val="000831C8"/>
    <w:rsid w:val="00083379"/>
    <w:rsid w:val="00083FA5"/>
    <w:rsid w:val="000851C7"/>
    <w:rsid w:val="00085E39"/>
    <w:rsid w:val="00086EEA"/>
    <w:rsid w:val="000906F5"/>
    <w:rsid w:val="000909CE"/>
    <w:rsid w:val="0009196E"/>
    <w:rsid w:val="00091E96"/>
    <w:rsid w:val="00092690"/>
    <w:rsid w:val="00092A06"/>
    <w:rsid w:val="00092C77"/>
    <w:rsid w:val="00092E0E"/>
    <w:rsid w:val="000930DA"/>
    <w:rsid w:val="000937B1"/>
    <w:rsid w:val="00095257"/>
    <w:rsid w:val="00095F89"/>
    <w:rsid w:val="00096C40"/>
    <w:rsid w:val="00097770"/>
    <w:rsid w:val="000A0827"/>
    <w:rsid w:val="000A0849"/>
    <w:rsid w:val="000A0F2C"/>
    <w:rsid w:val="000A1186"/>
    <w:rsid w:val="000A173F"/>
    <w:rsid w:val="000A192B"/>
    <w:rsid w:val="000A1CCE"/>
    <w:rsid w:val="000A2C95"/>
    <w:rsid w:val="000A3467"/>
    <w:rsid w:val="000A39E0"/>
    <w:rsid w:val="000A4A08"/>
    <w:rsid w:val="000A6278"/>
    <w:rsid w:val="000B1DBB"/>
    <w:rsid w:val="000B2181"/>
    <w:rsid w:val="000B2507"/>
    <w:rsid w:val="000B3A76"/>
    <w:rsid w:val="000B3B84"/>
    <w:rsid w:val="000B4674"/>
    <w:rsid w:val="000B46CF"/>
    <w:rsid w:val="000B481F"/>
    <w:rsid w:val="000B49D3"/>
    <w:rsid w:val="000B56FF"/>
    <w:rsid w:val="000C006C"/>
    <w:rsid w:val="000C0548"/>
    <w:rsid w:val="000C0B99"/>
    <w:rsid w:val="000C1A58"/>
    <w:rsid w:val="000C1AEE"/>
    <w:rsid w:val="000C4883"/>
    <w:rsid w:val="000C5209"/>
    <w:rsid w:val="000C53E9"/>
    <w:rsid w:val="000C5829"/>
    <w:rsid w:val="000C6226"/>
    <w:rsid w:val="000C6AB4"/>
    <w:rsid w:val="000C6F18"/>
    <w:rsid w:val="000C7688"/>
    <w:rsid w:val="000C7F9F"/>
    <w:rsid w:val="000D0051"/>
    <w:rsid w:val="000D3A06"/>
    <w:rsid w:val="000D4CC8"/>
    <w:rsid w:val="000D53AB"/>
    <w:rsid w:val="000D573D"/>
    <w:rsid w:val="000D58AA"/>
    <w:rsid w:val="000D713B"/>
    <w:rsid w:val="000D71B7"/>
    <w:rsid w:val="000D76D0"/>
    <w:rsid w:val="000E0006"/>
    <w:rsid w:val="000E08E4"/>
    <w:rsid w:val="000E0C6F"/>
    <w:rsid w:val="000E236D"/>
    <w:rsid w:val="000E388B"/>
    <w:rsid w:val="000E4E3C"/>
    <w:rsid w:val="000E535D"/>
    <w:rsid w:val="000E6165"/>
    <w:rsid w:val="000E689F"/>
    <w:rsid w:val="000E6961"/>
    <w:rsid w:val="000E780A"/>
    <w:rsid w:val="000F0084"/>
    <w:rsid w:val="000F2026"/>
    <w:rsid w:val="000F394F"/>
    <w:rsid w:val="000F3CA3"/>
    <w:rsid w:val="000F423F"/>
    <w:rsid w:val="000F4742"/>
    <w:rsid w:val="000F4AC9"/>
    <w:rsid w:val="000F4DEC"/>
    <w:rsid w:val="000F6092"/>
    <w:rsid w:val="000F74AD"/>
    <w:rsid w:val="000F7BC2"/>
    <w:rsid w:val="00100DF0"/>
    <w:rsid w:val="00100EB4"/>
    <w:rsid w:val="00101826"/>
    <w:rsid w:val="0010267B"/>
    <w:rsid w:val="00103A80"/>
    <w:rsid w:val="00103B7E"/>
    <w:rsid w:val="001053C0"/>
    <w:rsid w:val="001067DB"/>
    <w:rsid w:val="00107927"/>
    <w:rsid w:val="00110D60"/>
    <w:rsid w:val="001111A4"/>
    <w:rsid w:val="00111673"/>
    <w:rsid w:val="00112582"/>
    <w:rsid w:val="00112F57"/>
    <w:rsid w:val="0011328C"/>
    <w:rsid w:val="00113542"/>
    <w:rsid w:val="00114287"/>
    <w:rsid w:val="0011450B"/>
    <w:rsid w:val="001145F4"/>
    <w:rsid w:val="001163E2"/>
    <w:rsid w:val="0011728C"/>
    <w:rsid w:val="00117732"/>
    <w:rsid w:val="00117781"/>
    <w:rsid w:val="00120AA1"/>
    <w:rsid w:val="00120DCB"/>
    <w:rsid w:val="001219F9"/>
    <w:rsid w:val="00122D61"/>
    <w:rsid w:val="00124496"/>
    <w:rsid w:val="00124520"/>
    <w:rsid w:val="00124AE1"/>
    <w:rsid w:val="00124D0A"/>
    <w:rsid w:val="00124F5E"/>
    <w:rsid w:val="00126B64"/>
    <w:rsid w:val="00126BCD"/>
    <w:rsid w:val="00127476"/>
    <w:rsid w:val="00127893"/>
    <w:rsid w:val="00132327"/>
    <w:rsid w:val="00132AB4"/>
    <w:rsid w:val="00132C6D"/>
    <w:rsid w:val="00132F80"/>
    <w:rsid w:val="0013362F"/>
    <w:rsid w:val="00134829"/>
    <w:rsid w:val="0013560B"/>
    <w:rsid w:val="00135708"/>
    <w:rsid w:val="0013616D"/>
    <w:rsid w:val="00136657"/>
    <w:rsid w:val="00137F3E"/>
    <w:rsid w:val="00140121"/>
    <w:rsid w:val="0014056F"/>
    <w:rsid w:val="001409C2"/>
    <w:rsid w:val="00141006"/>
    <w:rsid w:val="001413DD"/>
    <w:rsid w:val="00141744"/>
    <w:rsid w:val="00141BCE"/>
    <w:rsid w:val="00142019"/>
    <w:rsid w:val="001426FE"/>
    <w:rsid w:val="00142D28"/>
    <w:rsid w:val="0014472B"/>
    <w:rsid w:val="00144921"/>
    <w:rsid w:val="00150717"/>
    <w:rsid w:val="001507DD"/>
    <w:rsid w:val="00150E8C"/>
    <w:rsid w:val="00150FBF"/>
    <w:rsid w:val="00151028"/>
    <w:rsid w:val="0015190E"/>
    <w:rsid w:val="0015299C"/>
    <w:rsid w:val="0015336C"/>
    <w:rsid w:val="00155547"/>
    <w:rsid w:val="001573FD"/>
    <w:rsid w:val="0016093E"/>
    <w:rsid w:val="0016098B"/>
    <w:rsid w:val="001609D3"/>
    <w:rsid w:val="00161BCD"/>
    <w:rsid w:val="0016207C"/>
    <w:rsid w:val="00162689"/>
    <w:rsid w:val="001631CA"/>
    <w:rsid w:val="00164709"/>
    <w:rsid w:val="00164CDE"/>
    <w:rsid w:val="001665C1"/>
    <w:rsid w:val="00166711"/>
    <w:rsid w:val="00166F19"/>
    <w:rsid w:val="00170E86"/>
    <w:rsid w:val="00171A4B"/>
    <w:rsid w:val="00174088"/>
    <w:rsid w:val="00174CD4"/>
    <w:rsid w:val="00175126"/>
    <w:rsid w:val="0017608F"/>
    <w:rsid w:val="00176E13"/>
    <w:rsid w:val="0017716A"/>
    <w:rsid w:val="00177248"/>
    <w:rsid w:val="001802FE"/>
    <w:rsid w:val="00180A37"/>
    <w:rsid w:val="00180D47"/>
    <w:rsid w:val="0018214D"/>
    <w:rsid w:val="00182AE3"/>
    <w:rsid w:val="00183076"/>
    <w:rsid w:val="00183269"/>
    <w:rsid w:val="001842C2"/>
    <w:rsid w:val="00184CDD"/>
    <w:rsid w:val="00185B08"/>
    <w:rsid w:val="00185C7C"/>
    <w:rsid w:val="00185CEB"/>
    <w:rsid w:val="001867C2"/>
    <w:rsid w:val="001909BC"/>
    <w:rsid w:val="00190AEB"/>
    <w:rsid w:val="00190D72"/>
    <w:rsid w:val="00190DC7"/>
    <w:rsid w:val="00191B9D"/>
    <w:rsid w:val="00193B56"/>
    <w:rsid w:val="0019426B"/>
    <w:rsid w:val="00194ABE"/>
    <w:rsid w:val="00195284"/>
    <w:rsid w:val="0019559C"/>
    <w:rsid w:val="0019657C"/>
    <w:rsid w:val="0019666F"/>
    <w:rsid w:val="001967B1"/>
    <w:rsid w:val="001A02E3"/>
    <w:rsid w:val="001A07A9"/>
    <w:rsid w:val="001A1D48"/>
    <w:rsid w:val="001A1DE3"/>
    <w:rsid w:val="001A1F71"/>
    <w:rsid w:val="001A24A0"/>
    <w:rsid w:val="001A307B"/>
    <w:rsid w:val="001A5466"/>
    <w:rsid w:val="001A6265"/>
    <w:rsid w:val="001A632D"/>
    <w:rsid w:val="001A7B87"/>
    <w:rsid w:val="001A7D38"/>
    <w:rsid w:val="001B0377"/>
    <w:rsid w:val="001B05F7"/>
    <w:rsid w:val="001B1245"/>
    <w:rsid w:val="001B17CD"/>
    <w:rsid w:val="001B1F8B"/>
    <w:rsid w:val="001B2DC9"/>
    <w:rsid w:val="001B31A8"/>
    <w:rsid w:val="001B34BB"/>
    <w:rsid w:val="001B3974"/>
    <w:rsid w:val="001B46A1"/>
    <w:rsid w:val="001B471E"/>
    <w:rsid w:val="001B47EE"/>
    <w:rsid w:val="001B5F6C"/>
    <w:rsid w:val="001B62F7"/>
    <w:rsid w:val="001B7A79"/>
    <w:rsid w:val="001B7CA1"/>
    <w:rsid w:val="001B7CA9"/>
    <w:rsid w:val="001B7D2D"/>
    <w:rsid w:val="001C07D6"/>
    <w:rsid w:val="001C0EAD"/>
    <w:rsid w:val="001C1B98"/>
    <w:rsid w:val="001C26B0"/>
    <w:rsid w:val="001C2E28"/>
    <w:rsid w:val="001C3319"/>
    <w:rsid w:val="001C37BF"/>
    <w:rsid w:val="001C41D3"/>
    <w:rsid w:val="001C43F7"/>
    <w:rsid w:val="001C4575"/>
    <w:rsid w:val="001C76B1"/>
    <w:rsid w:val="001D13CD"/>
    <w:rsid w:val="001D3772"/>
    <w:rsid w:val="001D40B8"/>
    <w:rsid w:val="001D49F4"/>
    <w:rsid w:val="001D4B0E"/>
    <w:rsid w:val="001D5CA2"/>
    <w:rsid w:val="001D6579"/>
    <w:rsid w:val="001D7D63"/>
    <w:rsid w:val="001E014E"/>
    <w:rsid w:val="001E07EA"/>
    <w:rsid w:val="001E0E49"/>
    <w:rsid w:val="001E0EF9"/>
    <w:rsid w:val="001E3544"/>
    <w:rsid w:val="001E39D0"/>
    <w:rsid w:val="001E4A2C"/>
    <w:rsid w:val="001E5C74"/>
    <w:rsid w:val="001E6570"/>
    <w:rsid w:val="001E6760"/>
    <w:rsid w:val="001E6957"/>
    <w:rsid w:val="001E6C19"/>
    <w:rsid w:val="001E6D2D"/>
    <w:rsid w:val="001E76A4"/>
    <w:rsid w:val="001E7B07"/>
    <w:rsid w:val="001F016A"/>
    <w:rsid w:val="001F1CBC"/>
    <w:rsid w:val="001F39ED"/>
    <w:rsid w:val="001F3C7C"/>
    <w:rsid w:val="001F402B"/>
    <w:rsid w:val="001F4845"/>
    <w:rsid w:val="001F4A1C"/>
    <w:rsid w:val="001F508E"/>
    <w:rsid w:val="001F55D6"/>
    <w:rsid w:val="001F66C2"/>
    <w:rsid w:val="001F716C"/>
    <w:rsid w:val="001F76F2"/>
    <w:rsid w:val="002001DC"/>
    <w:rsid w:val="0020207F"/>
    <w:rsid w:val="00204E46"/>
    <w:rsid w:val="00205B07"/>
    <w:rsid w:val="00205E9D"/>
    <w:rsid w:val="002065EA"/>
    <w:rsid w:val="00206E2F"/>
    <w:rsid w:val="00207B86"/>
    <w:rsid w:val="00210C01"/>
    <w:rsid w:val="00210EA7"/>
    <w:rsid w:val="002119D4"/>
    <w:rsid w:val="00213504"/>
    <w:rsid w:val="00213741"/>
    <w:rsid w:val="00215A08"/>
    <w:rsid w:val="00216288"/>
    <w:rsid w:val="002163FC"/>
    <w:rsid w:val="00216F88"/>
    <w:rsid w:val="0022109E"/>
    <w:rsid w:val="0022317F"/>
    <w:rsid w:val="0022390D"/>
    <w:rsid w:val="00224B8D"/>
    <w:rsid w:val="002254DC"/>
    <w:rsid w:val="002255B4"/>
    <w:rsid w:val="002260F3"/>
    <w:rsid w:val="0022663B"/>
    <w:rsid w:val="0022689D"/>
    <w:rsid w:val="00227769"/>
    <w:rsid w:val="00227FAD"/>
    <w:rsid w:val="00230997"/>
    <w:rsid w:val="00230D3B"/>
    <w:rsid w:val="00232350"/>
    <w:rsid w:val="00232402"/>
    <w:rsid w:val="0023258A"/>
    <w:rsid w:val="00232811"/>
    <w:rsid w:val="002331DD"/>
    <w:rsid w:val="00233480"/>
    <w:rsid w:val="00233CFF"/>
    <w:rsid w:val="00234AEA"/>
    <w:rsid w:val="00234E05"/>
    <w:rsid w:val="00234FB7"/>
    <w:rsid w:val="00235F70"/>
    <w:rsid w:val="00235F8C"/>
    <w:rsid w:val="002360BA"/>
    <w:rsid w:val="002362A4"/>
    <w:rsid w:val="00237434"/>
    <w:rsid w:val="002374E8"/>
    <w:rsid w:val="00237CFC"/>
    <w:rsid w:val="00240415"/>
    <w:rsid w:val="002410E5"/>
    <w:rsid w:val="002411CF"/>
    <w:rsid w:val="00241982"/>
    <w:rsid w:val="00241FA7"/>
    <w:rsid w:val="002424B1"/>
    <w:rsid w:val="002428EB"/>
    <w:rsid w:val="002430F5"/>
    <w:rsid w:val="00244001"/>
    <w:rsid w:val="002443F6"/>
    <w:rsid w:val="002447BD"/>
    <w:rsid w:val="00245678"/>
    <w:rsid w:val="00245B4B"/>
    <w:rsid w:val="002460EF"/>
    <w:rsid w:val="002462D2"/>
    <w:rsid w:val="00246DB4"/>
    <w:rsid w:val="00247313"/>
    <w:rsid w:val="002473DA"/>
    <w:rsid w:val="002517FD"/>
    <w:rsid w:val="00255261"/>
    <w:rsid w:val="00256661"/>
    <w:rsid w:val="0026046F"/>
    <w:rsid w:val="002606E1"/>
    <w:rsid w:val="00260DDA"/>
    <w:rsid w:val="00260F60"/>
    <w:rsid w:val="0026129F"/>
    <w:rsid w:val="002613FE"/>
    <w:rsid w:val="002618D5"/>
    <w:rsid w:val="00261A90"/>
    <w:rsid w:val="002646C7"/>
    <w:rsid w:val="002678A7"/>
    <w:rsid w:val="00267FE6"/>
    <w:rsid w:val="002700EC"/>
    <w:rsid w:val="002703C0"/>
    <w:rsid w:val="002703FD"/>
    <w:rsid w:val="00270CB2"/>
    <w:rsid w:val="00270F84"/>
    <w:rsid w:val="00271552"/>
    <w:rsid w:val="00272C69"/>
    <w:rsid w:val="00272FD8"/>
    <w:rsid w:val="00273B0E"/>
    <w:rsid w:val="002746F6"/>
    <w:rsid w:val="00276597"/>
    <w:rsid w:val="00276AEF"/>
    <w:rsid w:val="00276BBB"/>
    <w:rsid w:val="00280560"/>
    <w:rsid w:val="00280A50"/>
    <w:rsid w:val="00281200"/>
    <w:rsid w:val="00281B8E"/>
    <w:rsid w:val="00281CE7"/>
    <w:rsid w:val="00282303"/>
    <w:rsid w:val="00282EF0"/>
    <w:rsid w:val="00283199"/>
    <w:rsid w:val="002833E3"/>
    <w:rsid w:val="002845AF"/>
    <w:rsid w:val="00285772"/>
    <w:rsid w:val="00286623"/>
    <w:rsid w:val="00287B47"/>
    <w:rsid w:val="00290648"/>
    <w:rsid w:val="0029123C"/>
    <w:rsid w:val="00292F96"/>
    <w:rsid w:val="002931B4"/>
    <w:rsid w:val="00294043"/>
    <w:rsid w:val="00294BF0"/>
    <w:rsid w:val="00294F82"/>
    <w:rsid w:val="0029538F"/>
    <w:rsid w:val="002978A7"/>
    <w:rsid w:val="002A06B7"/>
    <w:rsid w:val="002A1098"/>
    <w:rsid w:val="002A1D7F"/>
    <w:rsid w:val="002A20F4"/>
    <w:rsid w:val="002A2190"/>
    <w:rsid w:val="002A2303"/>
    <w:rsid w:val="002A2344"/>
    <w:rsid w:val="002A2D5D"/>
    <w:rsid w:val="002A5269"/>
    <w:rsid w:val="002A564D"/>
    <w:rsid w:val="002A5F08"/>
    <w:rsid w:val="002A693B"/>
    <w:rsid w:val="002A7813"/>
    <w:rsid w:val="002B0104"/>
    <w:rsid w:val="002B20B1"/>
    <w:rsid w:val="002B4DB3"/>
    <w:rsid w:val="002B651E"/>
    <w:rsid w:val="002B705E"/>
    <w:rsid w:val="002B79F2"/>
    <w:rsid w:val="002C0DFE"/>
    <w:rsid w:val="002C0EC1"/>
    <w:rsid w:val="002C1136"/>
    <w:rsid w:val="002C2AB0"/>
    <w:rsid w:val="002C324A"/>
    <w:rsid w:val="002C4F8A"/>
    <w:rsid w:val="002C593B"/>
    <w:rsid w:val="002C5CAB"/>
    <w:rsid w:val="002C5FC9"/>
    <w:rsid w:val="002C642A"/>
    <w:rsid w:val="002D1706"/>
    <w:rsid w:val="002D329A"/>
    <w:rsid w:val="002D591D"/>
    <w:rsid w:val="002D5980"/>
    <w:rsid w:val="002D5AA3"/>
    <w:rsid w:val="002D6001"/>
    <w:rsid w:val="002D6E24"/>
    <w:rsid w:val="002D764F"/>
    <w:rsid w:val="002D7E9A"/>
    <w:rsid w:val="002E01CF"/>
    <w:rsid w:val="002E172E"/>
    <w:rsid w:val="002E2E79"/>
    <w:rsid w:val="002E32F5"/>
    <w:rsid w:val="002E34C4"/>
    <w:rsid w:val="002E5077"/>
    <w:rsid w:val="002E52FC"/>
    <w:rsid w:val="002E5AA0"/>
    <w:rsid w:val="002E746D"/>
    <w:rsid w:val="002E76FF"/>
    <w:rsid w:val="002E7AC4"/>
    <w:rsid w:val="002F165C"/>
    <w:rsid w:val="002F217A"/>
    <w:rsid w:val="002F2CE1"/>
    <w:rsid w:val="002F35DF"/>
    <w:rsid w:val="002F39FD"/>
    <w:rsid w:val="002F3DF2"/>
    <w:rsid w:val="002F455A"/>
    <w:rsid w:val="002F5491"/>
    <w:rsid w:val="002F59DA"/>
    <w:rsid w:val="002F6257"/>
    <w:rsid w:val="002F6316"/>
    <w:rsid w:val="002F6F8F"/>
    <w:rsid w:val="002F7C5C"/>
    <w:rsid w:val="002F7EFD"/>
    <w:rsid w:val="002F7F0F"/>
    <w:rsid w:val="00300597"/>
    <w:rsid w:val="00301C19"/>
    <w:rsid w:val="0030244C"/>
    <w:rsid w:val="003030A7"/>
    <w:rsid w:val="003031B7"/>
    <w:rsid w:val="0030372C"/>
    <w:rsid w:val="00304BCC"/>
    <w:rsid w:val="003050B9"/>
    <w:rsid w:val="003053FB"/>
    <w:rsid w:val="00305768"/>
    <w:rsid w:val="00305DFC"/>
    <w:rsid w:val="0030747B"/>
    <w:rsid w:val="00310425"/>
    <w:rsid w:val="003115FD"/>
    <w:rsid w:val="00311735"/>
    <w:rsid w:val="0031572E"/>
    <w:rsid w:val="0031609F"/>
    <w:rsid w:val="003164EB"/>
    <w:rsid w:val="00317259"/>
    <w:rsid w:val="003172F0"/>
    <w:rsid w:val="003259F5"/>
    <w:rsid w:val="003270FC"/>
    <w:rsid w:val="003300AC"/>
    <w:rsid w:val="003303B3"/>
    <w:rsid w:val="00330865"/>
    <w:rsid w:val="00330EDD"/>
    <w:rsid w:val="00331023"/>
    <w:rsid w:val="00333314"/>
    <w:rsid w:val="00333A1D"/>
    <w:rsid w:val="00333B83"/>
    <w:rsid w:val="00333CC2"/>
    <w:rsid w:val="00333E05"/>
    <w:rsid w:val="00333E6A"/>
    <w:rsid w:val="00333FCB"/>
    <w:rsid w:val="00334421"/>
    <w:rsid w:val="00335BEB"/>
    <w:rsid w:val="00335C3A"/>
    <w:rsid w:val="00335D3E"/>
    <w:rsid w:val="00336285"/>
    <w:rsid w:val="003369FF"/>
    <w:rsid w:val="00337C63"/>
    <w:rsid w:val="00337EF8"/>
    <w:rsid w:val="00340518"/>
    <w:rsid w:val="00340870"/>
    <w:rsid w:val="00342138"/>
    <w:rsid w:val="00343FEC"/>
    <w:rsid w:val="00344A45"/>
    <w:rsid w:val="0034570B"/>
    <w:rsid w:val="00347553"/>
    <w:rsid w:val="003503F9"/>
    <w:rsid w:val="0035061B"/>
    <w:rsid w:val="00350F5B"/>
    <w:rsid w:val="00351ACE"/>
    <w:rsid w:val="00351BCA"/>
    <w:rsid w:val="00353826"/>
    <w:rsid w:val="00354AC6"/>
    <w:rsid w:val="00355C91"/>
    <w:rsid w:val="00356186"/>
    <w:rsid w:val="0035708D"/>
    <w:rsid w:val="0036078D"/>
    <w:rsid w:val="003616D1"/>
    <w:rsid w:val="0036195D"/>
    <w:rsid w:val="00362576"/>
    <w:rsid w:val="00362821"/>
    <w:rsid w:val="00363026"/>
    <w:rsid w:val="003630BA"/>
    <w:rsid w:val="00365F85"/>
    <w:rsid w:val="00366A55"/>
    <w:rsid w:val="00367639"/>
    <w:rsid w:val="003707C8"/>
    <w:rsid w:val="00370984"/>
    <w:rsid w:val="00370BAA"/>
    <w:rsid w:val="00371200"/>
    <w:rsid w:val="003720CF"/>
    <w:rsid w:val="00372772"/>
    <w:rsid w:val="003730D0"/>
    <w:rsid w:val="00373E5D"/>
    <w:rsid w:val="00374525"/>
    <w:rsid w:val="00374579"/>
    <w:rsid w:val="00374EC0"/>
    <w:rsid w:val="00374EE1"/>
    <w:rsid w:val="00375519"/>
    <w:rsid w:val="00375819"/>
    <w:rsid w:val="00376242"/>
    <w:rsid w:val="0037639A"/>
    <w:rsid w:val="00377414"/>
    <w:rsid w:val="003806F1"/>
    <w:rsid w:val="00380C91"/>
    <w:rsid w:val="00381426"/>
    <w:rsid w:val="00381CF0"/>
    <w:rsid w:val="00382C10"/>
    <w:rsid w:val="0038331F"/>
    <w:rsid w:val="003846E8"/>
    <w:rsid w:val="00384978"/>
    <w:rsid w:val="00384C8B"/>
    <w:rsid w:val="00385852"/>
    <w:rsid w:val="003860A9"/>
    <w:rsid w:val="00386775"/>
    <w:rsid w:val="0038699B"/>
    <w:rsid w:val="00386D7F"/>
    <w:rsid w:val="00387749"/>
    <w:rsid w:val="00390782"/>
    <w:rsid w:val="003921AB"/>
    <w:rsid w:val="00393310"/>
    <w:rsid w:val="00394017"/>
    <w:rsid w:val="00394184"/>
    <w:rsid w:val="00394497"/>
    <w:rsid w:val="003948C3"/>
    <w:rsid w:val="0039524D"/>
    <w:rsid w:val="00395AE7"/>
    <w:rsid w:val="00396456"/>
    <w:rsid w:val="00396735"/>
    <w:rsid w:val="00396D19"/>
    <w:rsid w:val="0039734B"/>
    <w:rsid w:val="003A0F38"/>
    <w:rsid w:val="003A20D9"/>
    <w:rsid w:val="003A35EA"/>
    <w:rsid w:val="003A43B6"/>
    <w:rsid w:val="003A5AB4"/>
    <w:rsid w:val="003A60C9"/>
    <w:rsid w:val="003A6648"/>
    <w:rsid w:val="003A71BE"/>
    <w:rsid w:val="003A7DD3"/>
    <w:rsid w:val="003B0DB4"/>
    <w:rsid w:val="003B0FBF"/>
    <w:rsid w:val="003B13C6"/>
    <w:rsid w:val="003B19AB"/>
    <w:rsid w:val="003B220C"/>
    <w:rsid w:val="003B3AF1"/>
    <w:rsid w:val="003B4F22"/>
    <w:rsid w:val="003B59BD"/>
    <w:rsid w:val="003B59E4"/>
    <w:rsid w:val="003B5A6F"/>
    <w:rsid w:val="003B5F91"/>
    <w:rsid w:val="003B6797"/>
    <w:rsid w:val="003C1DD3"/>
    <w:rsid w:val="003C2153"/>
    <w:rsid w:val="003C2361"/>
    <w:rsid w:val="003C2625"/>
    <w:rsid w:val="003C38A5"/>
    <w:rsid w:val="003C3B1A"/>
    <w:rsid w:val="003C5032"/>
    <w:rsid w:val="003C573B"/>
    <w:rsid w:val="003C62B6"/>
    <w:rsid w:val="003C6B83"/>
    <w:rsid w:val="003C74EA"/>
    <w:rsid w:val="003D1C6F"/>
    <w:rsid w:val="003D3666"/>
    <w:rsid w:val="003D3A33"/>
    <w:rsid w:val="003D3A69"/>
    <w:rsid w:val="003D46E1"/>
    <w:rsid w:val="003D528E"/>
    <w:rsid w:val="003D56F2"/>
    <w:rsid w:val="003D5902"/>
    <w:rsid w:val="003E02F4"/>
    <w:rsid w:val="003E038D"/>
    <w:rsid w:val="003E04D7"/>
    <w:rsid w:val="003E12E4"/>
    <w:rsid w:val="003E1FF6"/>
    <w:rsid w:val="003E20B1"/>
    <w:rsid w:val="003E2930"/>
    <w:rsid w:val="003E2BC6"/>
    <w:rsid w:val="003E4B8B"/>
    <w:rsid w:val="003E5310"/>
    <w:rsid w:val="003E7967"/>
    <w:rsid w:val="003F0288"/>
    <w:rsid w:val="003F1828"/>
    <w:rsid w:val="003F1C0F"/>
    <w:rsid w:val="003F374A"/>
    <w:rsid w:val="003F55B3"/>
    <w:rsid w:val="003F613E"/>
    <w:rsid w:val="003F6605"/>
    <w:rsid w:val="003F6B51"/>
    <w:rsid w:val="003F75DC"/>
    <w:rsid w:val="00401746"/>
    <w:rsid w:val="00401A24"/>
    <w:rsid w:val="00401B5D"/>
    <w:rsid w:val="00402123"/>
    <w:rsid w:val="00403340"/>
    <w:rsid w:val="0040343C"/>
    <w:rsid w:val="004035AC"/>
    <w:rsid w:val="004049DE"/>
    <w:rsid w:val="004061A5"/>
    <w:rsid w:val="0040664D"/>
    <w:rsid w:val="004073AE"/>
    <w:rsid w:val="00407DC9"/>
    <w:rsid w:val="004101A7"/>
    <w:rsid w:val="00410F17"/>
    <w:rsid w:val="00411DFA"/>
    <w:rsid w:val="004127B5"/>
    <w:rsid w:val="00412CB5"/>
    <w:rsid w:val="00413672"/>
    <w:rsid w:val="004157EB"/>
    <w:rsid w:val="00415915"/>
    <w:rsid w:val="00416BAE"/>
    <w:rsid w:val="0041742B"/>
    <w:rsid w:val="004201C3"/>
    <w:rsid w:val="00420BA5"/>
    <w:rsid w:val="00420ED8"/>
    <w:rsid w:val="00421023"/>
    <w:rsid w:val="00421AA1"/>
    <w:rsid w:val="0042245B"/>
    <w:rsid w:val="00422B6A"/>
    <w:rsid w:val="00422E8F"/>
    <w:rsid w:val="00422E90"/>
    <w:rsid w:val="0042400D"/>
    <w:rsid w:val="004243E2"/>
    <w:rsid w:val="00424496"/>
    <w:rsid w:val="00424772"/>
    <w:rsid w:val="004266CF"/>
    <w:rsid w:val="00426894"/>
    <w:rsid w:val="00427015"/>
    <w:rsid w:val="00430B5F"/>
    <w:rsid w:val="00431ECB"/>
    <w:rsid w:val="00434668"/>
    <w:rsid w:val="004347CF"/>
    <w:rsid w:val="00434946"/>
    <w:rsid w:val="00435A2C"/>
    <w:rsid w:val="0044006F"/>
    <w:rsid w:val="004419D3"/>
    <w:rsid w:val="00442443"/>
    <w:rsid w:val="00443644"/>
    <w:rsid w:val="00443BE8"/>
    <w:rsid w:val="00443F6F"/>
    <w:rsid w:val="00444D4C"/>
    <w:rsid w:val="004453F0"/>
    <w:rsid w:val="00445766"/>
    <w:rsid w:val="00445783"/>
    <w:rsid w:val="00445A08"/>
    <w:rsid w:val="00446B19"/>
    <w:rsid w:val="00446E10"/>
    <w:rsid w:val="00447723"/>
    <w:rsid w:val="0045127B"/>
    <w:rsid w:val="004521E2"/>
    <w:rsid w:val="00452C21"/>
    <w:rsid w:val="00452EDA"/>
    <w:rsid w:val="004535F6"/>
    <w:rsid w:val="0045657A"/>
    <w:rsid w:val="00457074"/>
    <w:rsid w:val="00457EB6"/>
    <w:rsid w:val="0046080A"/>
    <w:rsid w:val="00461375"/>
    <w:rsid w:val="00462AE3"/>
    <w:rsid w:val="00462C66"/>
    <w:rsid w:val="00462DBB"/>
    <w:rsid w:val="004630BD"/>
    <w:rsid w:val="00463FD1"/>
    <w:rsid w:val="00464105"/>
    <w:rsid w:val="0046414A"/>
    <w:rsid w:val="00464B71"/>
    <w:rsid w:val="004662EB"/>
    <w:rsid w:val="0046723B"/>
    <w:rsid w:val="00467556"/>
    <w:rsid w:val="00467716"/>
    <w:rsid w:val="00467FDC"/>
    <w:rsid w:val="00471354"/>
    <w:rsid w:val="004717A5"/>
    <w:rsid w:val="00471A25"/>
    <w:rsid w:val="00471D6D"/>
    <w:rsid w:val="00471EFD"/>
    <w:rsid w:val="004720F0"/>
    <w:rsid w:val="004722F7"/>
    <w:rsid w:val="00474E3C"/>
    <w:rsid w:val="0047502D"/>
    <w:rsid w:val="00475BE3"/>
    <w:rsid w:val="00475D80"/>
    <w:rsid w:val="00476E50"/>
    <w:rsid w:val="004811C2"/>
    <w:rsid w:val="004820F1"/>
    <w:rsid w:val="0048210B"/>
    <w:rsid w:val="00482AD6"/>
    <w:rsid w:val="00484583"/>
    <w:rsid w:val="00484623"/>
    <w:rsid w:val="00484754"/>
    <w:rsid w:val="00485881"/>
    <w:rsid w:val="00486A1C"/>
    <w:rsid w:val="004872D8"/>
    <w:rsid w:val="00487872"/>
    <w:rsid w:val="00487E32"/>
    <w:rsid w:val="004908F8"/>
    <w:rsid w:val="004911CB"/>
    <w:rsid w:val="004923BA"/>
    <w:rsid w:val="00492F48"/>
    <w:rsid w:val="00493200"/>
    <w:rsid w:val="00493CB0"/>
    <w:rsid w:val="00495364"/>
    <w:rsid w:val="0049579E"/>
    <w:rsid w:val="00495B24"/>
    <w:rsid w:val="00495C1C"/>
    <w:rsid w:val="0049648C"/>
    <w:rsid w:val="00496963"/>
    <w:rsid w:val="0049756D"/>
    <w:rsid w:val="004A08A3"/>
    <w:rsid w:val="004A0CBC"/>
    <w:rsid w:val="004A0CFB"/>
    <w:rsid w:val="004A107C"/>
    <w:rsid w:val="004A1889"/>
    <w:rsid w:val="004A1C4A"/>
    <w:rsid w:val="004A1DC5"/>
    <w:rsid w:val="004A28D5"/>
    <w:rsid w:val="004A2B69"/>
    <w:rsid w:val="004A2B72"/>
    <w:rsid w:val="004A37E8"/>
    <w:rsid w:val="004A4924"/>
    <w:rsid w:val="004A4C06"/>
    <w:rsid w:val="004A572E"/>
    <w:rsid w:val="004A5C2F"/>
    <w:rsid w:val="004A6E79"/>
    <w:rsid w:val="004A6EE4"/>
    <w:rsid w:val="004B0889"/>
    <w:rsid w:val="004B1981"/>
    <w:rsid w:val="004B3275"/>
    <w:rsid w:val="004B3698"/>
    <w:rsid w:val="004B3C45"/>
    <w:rsid w:val="004B5DCF"/>
    <w:rsid w:val="004B7E7F"/>
    <w:rsid w:val="004C075B"/>
    <w:rsid w:val="004C0D70"/>
    <w:rsid w:val="004C2737"/>
    <w:rsid w:val="004C2A87"/>
    <w:rsid w:val="004C3D22"/>
    <w:rsid w:val="004C4EB5"/>
    <w:rsid w:val="004C6435"/>
    <w:rsid w:val="004C7323"/>
    <w:rsid w:val="004C7696"/>
    <w:rsid w:val="004D0148"/>
    <w:rsid w:val="004D02E5"/>
    <w:rsid w:val="004D04CF"/>
    <w:rsid w:val="004D1996"/>
    <w:rsid w:val="004D1BEF"/>
    <w:rsid w:val="004D1DFA"/>
    <w:rsid w:val="004D2772"/>
    <w:rsid w:val="004D3AF3"/>
    <w:rsid w:val="004D4553"/>
    <w:rsid w:val="004D4976"/>
    <w:rsid w:val="004D76BC"/>
    <w:rsid w:val="004D7D08"/>
    <w:rsid w:val="004E1177"/>
    <w:rsid w:val="004E1566"/>
    <w:rsid w:val="004E1BF1"/>
    <w:rsid w:val="004E2443"/>
    <w:rsid w:val="004E2E80"/>
    <w:rsid w:val="004E4906"/>
    <w:rsid w:val="004E58F1"/>
    <w:rsid w:val="004E59E6"/>
    <w:rsid w:val="004E6050"/>
    <w:rsid w:val="004E60C1"/>
    <w:rsid w:val="004E688F"/>
    <w:rsid w:val="004E693F"/>
    <w:rsid w:val="004E7A71"/>
    <w:rsid w:val="004E7F32"/>
    <w:rsid w:val="004F02BE"/>
    <w:rsid w:val="004F24F7"/>
    <w:rsid w:val="004F342F"/>
    <w:rsid w:val="004F414F"/>
    <w:rsid w:val="004F4E31"/>
    <w:rsid w:val="004F530D"/>
    <w:rsid w:val="004F5B5C"/>
    <w:rsid w:val="004F60D2"/>
    <w:rsid w:val="004F6540"/>
    <w:rsid w:val="004F6A6B"/>
    <w:rsid w:val="004F721B"/>
    <w:rsid w:val="004F75CE"/>
    <w:rsid w:val="00500D7A"/>
    <w:rsid w:val="00501259"/>
    <w:rsid w:val="00502C6D"/>
    <w:rsid w:val="0050315D"/>
    <w:rsid w:val="005037C5"/>
    <w:rsid w:val="005048DD"/>
    <w:rsid w:val="005048E9"/>
    <w:rsid w:val="005049BA"/>
    <w:rsid w:val="00505976"/>
    <w:rsid w:val="00506501"/>
    <w:rsid w:val="00506888"/>
    <w:rsid w:val="00507D89"/>
    <w:rsid w:val="00510318"/>
    <w:rsid w:val="005103CA"/>
    <w:rsid w:val="00510750"/>
    <w:rsid w:val="0051116C"/>
    <w:rsid w:val="005116CF"/>
    <w:rsid w:val="005119B9"/>
    <w:rsid w:val="00512510"/>
    <w:rsid w:val="00512F85"/>
    <w:rsid w:val="00513C6B"/>
    <w:rsid w:val="00513E50"/>
    <w:rsid w:val="005153C3"/>
    <w:rsid w:val="005155A0"/>
    <w:rsid w:val="00515C56"/>
    <w:rsid w:val="00515FFC"/>
    <w:rsid w:val="005160B7"/>
    <w:rsid w:val="00520C9C"/>
    <w:rsid w:val="00520D37"/>
    <w:rsid w:val="005218DD"/>
    <w:rsid w:val="00521B67"/>
    <w:rsid w:val="00522FB2"/>
    <w:rsid w:val="0052363D"/>
    <w:rsid w:val="0052399A"/>
    <w:rsid w:val="00523AE7"/>
    <w:rsid w:val="00525131"/>
    <w:rsid w:val="005260D5"/>
    <w:rsid w:val="00526C09"/>
    <w:rsid w:val="00527C77"/>
    <w:rsid w:val="00527F1D"/>
    <w:rsid w:val="005307E2"/>
    <w:rsid w:val="00531764"/>
    <w:rsid w:val="00531CC2"/>
    <w:rsid w:val="00531FBA"/>
    <w:rsid w:val="00532036"/>
    <w:rsid w:val="0053213A"/>
    <w:rsid w:val="00533B03"/>
    <w:rsid w:val="00534241"/>
    <w:rsid w:val="00534AD9"/>
    <w:rsid w:val="00534F89"/>
    <w:rsid w:val="00535297"/>
    <w:rsid w:val="0053549F"/>
    <w:rsid w:val="005363A9"/>
    <w:rsid w:val="00536D67"/>
    <w:rsid w:val="00536DC1"/>
    <w:rsid w:val="0053702E"/>
    <w:rsid w:val="0053717E"/>
    <w:rsid w:val="00537EF3"/>
    <w:rsid w:val="0054023E"/>
    <w:rsid w:val="005410D2"/>
    <w:rsid w:val="0054138F"/>
    <w:rsid w:val="005413B5"/>
    <w:rsid w:val="005417C8"/>
    <w:rsid w:val="0054210B"/>
    <w:rsid w:val="005422F7"/>
    <w:rsid w:val="005430CA"/>
    <w:rsid w:val="00543730"/>
    <w:rsid w:val="00543D37"/>
    <w:rsid w:val="005447CC"/>
    <w:rsid w:val="005449D6"/>
    <w:rsid w:val="00544B44"/>
    <w:rsid w:val="00545366"/>
    <w:rsid w:val="005462CF"/>
    <w:rsid w:val="00547082"/>
    <w:rsid w:val="0054773E"/>
    <w:rsid w:val="00547D56"/>
    <w:rsid w:val="00550A4C"/>
    <w:rsid w:val="00551275"/>
    <w:rsid w:val="00551592"/>
    <w:rsid w:val="00552A61"/>
    <w:rsid w:val="00553379"/>
    <w:rsid w:val="005540B3"/>
    <w:rsid w:val="00554896"/>
    <w:rsid w:val="0055518C"/>
    <w:rsid w:val="005559BF"/>
    <w:rsid w:val="0055664D"/>
    <w:rsid w:val="00556A4B"/>
    <w:rsid w:val="00562AF4"/>
    <w:rsid w:val="00564A36"/>
    <w:rsid w:val="005654CF"/>
    <w:rsid w:val="00565EE6"/>
    <w:rsid w:val="0056605B"/>
    <w:rsid w:val="0056647E"/>
    <w:rsid w:val="00566BB4"/>
    <w:rsid w:val="00566C77"/>
    <w:rsid w:val="00567985"/>
    <w:rsid w:val="005724F5"/>
    <w:rsid w:val="00573D4F"/>
    <w:rsid w:val="005749EA"/>
    <w:rsid w:val="00575674"/>
    <w:rsid w:val="00575969"/>
    <w:rsid w:val="00576263"/>
    <w:rsid w:val="005767A5"/>
    <w:rsid w:val="0057792E"/>
    <w:rsid w:val="00577AEC"/>
    <w:rsid w:val="00580219"/>
    <w:rsid w:val="00581863"/>
    <w:rsid w:val="00582601"/>
    <w:rsid w:val="005827A9"/>
    <w:rsid w:val="005845FF"/>
    <w:rsid w:val="00584B5A"/>
    <w:rsid w:val="00584D09"/>
    <w:rsid w:val="00585C21"/>
    <w:rsid w:val="005861DD"/>
    <w:rsid w:val="00587538"/>
    <w:rsid w:val="00587CC5"/>
    <w:rsid w:val="00587FA0"/>
    <w:rsid w:val="00590379"/>
    <w:rsid w:val="00591015"/>
    <w:rsid w:val="00591556"/>
    <w:rsid w:val="00592381"/>
    <w:rsid w:val="00593524"/>
    <w:rsid w:val="005944FE"/>
    <w:rsid w:val="00594D82"/>
    <w:rsid w:val="005957C6"/>
    <w:rsid w:val="005962C7"/>
    <w:rsid w:val="00596527"/>
    <w:rsid w:val="0059662F"/>
    <w:rsid w:val="005975DA"/>
    <w:rsid w:val="005A0A82"/>
    <w:rsid w:val="005A0B2B"/>
    <w:rsid w:val="005A2243"/>
    <w:rsid w:val="005A2D13"/>
    <w:rsid w:val="005A44D5"/>
    <w:rsid w:val="005A6770"/>
    <w:rsid w:val="005B0242"/>
    <w:rsid w:val="005B027B"/>
    <w:rsid w:val="005B03DF"/>
    <w:rsid w:val="005B04E2"/>
    <w:rsid w:val="005B1317"/>
    <w:rsid w:val="005B1763"/>
    <w:rsid w:val="005B2474"/>
    <w:rsid w:val="005B318F"/>
    <w:rsid w:val="005B3950"/>
    <w:rsid w:val="005B3D0F"/>
    <w:rsid w:val="005B4192"/>
    <w:rsid w:val="005B43D0"/>
    <w:rsid w:val="005B4A75"/>
    <w:rsid w:val="005B64DA"/>
    <w:rsid w:val="005B711B"/>
    <w:rsid w:val="005B748E"/>
    <w:rsid w:val="005C0C96"/>
    <w:rsid w:val="005C1133"/>
    <w:rsid w:val="005C14A0"/>
    <w:rsid w:val="005C6AC9"/>
    <w:rsid w:val="005D0080"/>
    <w:rsid w:val="005D029B"/>
    <w:rsid w:val="005D0720"/>
    <w:rsid w:val="005D08AD"/>
    <w:rsid w:val="005D0CBC"/>
    <w:rsid w:val="005D0F1B"/>
    <w:rsid w:val="005D15EB"/>
    <w:rsid w:val="005D16E2"/>
    <w:rsid w:val="005D234A"/>
    <w:rsid w:val="005D292E"/>
    <w:rsid w:val="005D2DF7"/>
    <w:rsid w:val="005D597F"/>
    <w:rsid w:val="005D5AC7"/>
    <w:rsid w:val="005D5E3F"/>
    <w:rsid w:val="005D658A"/>
    <w:rsid w:val="005D67ED"/>
    <w:rsid w:val="005D6DB3"/>
    <w:rsid w:val="005D6EEE"/>
    <w:rsid w:val="005E07B3"/>
    <w:rsid w:val="005E0AF1"/>
    <w:rsid w:val="005E0E5D"/>
    <w:rsid w:val="005E111A"/>
    <w:rsid w:val="005E1CA7"/>
    <w:rsid w:val="005E2339"/>
    <w:rsid w:val="005E2793"/>
    <w:rsid w:val="005E27AC"/>
    <w:rsid w:val="005E33B2"/>
    <w:rsid w:val="005E3871"/>
    <w:rsid w:val="005E3C96"/>
    <w:rsid w:val="005E47CC"/>
    <w:rsid w:val="005E7EF6"/>
    <w:rsid w:val="005F021A"/>
    <w:rsid w:val="005F0A29"/>
    <w:rsid w:val="005F2199"/>
    <w:rsid w:val="005F231B"/>
    <w:rsid w:val="005F3E59"/>
    <w:rsid w:val="005F4387"/>
    <w:rsid w:val="005F4438"/>
    <w:rsid w:val="005F5A83"/>
    <w:rsid w:val="005F7316"/>
    <w:rsid w:val="00600233"/>
    <w:rsid w:val="00600FA2"/>
    <w:rsid w:val="00602EF9"/>
    <w:rsid w:val="0060421C"/>
    <w:rsid w:val="006050D9"/>
    <w:rsid w:val="0060651F"/>
    <w:rsid w:val="006107E7"/>
    <w:rsid w:val="006115E9"/>
    <w:rsid w:val="00611F07"/>
    <w:rsid w:val="00611FB3"/>
    <w:rsid w:val="00612744"/>
    <w:rsid w:val="0061286E"/>
    <w:rsid w:val="00612F02"/>
    <w:rsid w:val="00613D91"/>
    <w:rsid w:val="006143FA"/>
    <w:rsid w:val="00615CC5"/>
    <w:rsid w:val="006168F8"/>
    <w:rsid w:val="006178A2"/>
    <w:rsid w:val="00617DFD"/>
    <w:rsid w:val="00621F52"/>
    <w:rsid w:val="00621FD6"/>
    <w:rsid w:val="006232DC"/>
    <w:rsid w:val="006233C2"/>
    <w:rsid w:val="00624C04"/>
    <w:rsid w:val="00624FD7"/>
    <w:rsid w:val="006252A2"/>
    <w:rsid w:val="006253B3"/>
    <w:rsid w:val="006254D3"/>
    <w:rsid w:val="00626407"/>
    <w:rsid w:val="00630E22"/>
    <w:rsid w:val="00631415"/>
    <w:rsid w:val="00631C06"/>
    <w:rsid w:val="00632116"/>
    <w:rsid w:val="00635BB1"/>
    <w:rsid w:val="00635D72"/>
    <w:rsid w:val="00635E7A"/>
    <w:rsid w:val="0063786F"/>
    <w:rsid w:val="006379FB"/>
    <w:rsid w:val="006405D5"/>
    <w:rsid w:val="00644250"/>
    <w:rsid w:val="00645CEA"/>
    <w:rsid w:val="00647C00"/>
    <w:rsid w:val="0065072E"/>
    <w:rsid w:val="00651CA2"/>
    <w:rsid w:val="0065379C"/>
    <w:rsid w:val="00654009"/>
    <w:rsid w:val="00655C8A"/>
    <w:rsid w:val="0065628F"/>
    <w:rsid w:val="00662AE7"/>
    <w:rsid w:val="00663097"/>
    <w:rsid w:val="00663280"/>
    <w:rsid w:val="006648A4"/>
    <w:rsid w:val="00664CDE"/>
    <w:rsid w:val="00664F00"/>
    <w:rsid w:val="00665070"/>
    <w:rsid w:val="00665110"/>
    <w:rsid w:val="00665133"/>
    <w:rsid w:val="00665140"/>
    <w:rsid w:val="006662B3"/>
    <w:rsid w:val="006665E3"/>
    <w:rsid w:val="00666959"/>
    <w:rsid w:val="00667394"/>
    <w:rsid w:val="00671511"/>
    <w:rsid w:val="00672242"/>
    <w:rsid w:val="0067242E"/>
    <w:rsid w:val="00674261"/>
    <w:rsid w:val="006742E3"/>
    <w:rsid w:val="0067483E"/>
    <w:rsid w:val="00675797"/>
    <w:rsid w:val="0067586F"/>
    <w:rsid w:val="00676219"/>
    <w:rsid w:val="00676968"/>
    <w:rsid w:val="006779C4"/>
    <w:rsid w:val="00680ED9"/>
    <w:rsid w:val="00682749"/>
    <w:rsid w:val="0068376A"/>
    <w:rsid w:val="00683C58"/>
    <w:rsid w:val="00683DD8"/>
    <w:rsid w:val="006857AF"/>
    <w:rsid w:val="00686051"/>
    <w:rsid w:val="00686D1D"/>
    <w:rsid w:val="00686FB1"/>
    <w:rsid w:val="006902C7"/>
    <w:rsid w:val="00691566"/>
    <w:rsid w:val="006916F3"/>
    <w:rsid w:val="0069209E"/>
    <w:rsid w:val="0069243E"/>
    <w:rsid w:val="006925C1"/>
    <w:rsid w:val="006926E1"/>
    <w:rsid w:val="00692BAC"/>
    <w:rsid w:val="00693983"/>
    <w:rsid w:val="006939CC"/>
    <w:rsid w:val="00693B1B"/>
    <w:rsid w:val="00694188"/>
    <w:rsid w:val="00695E4A"/>
    <w:rsid w:val="006966D6"/>
    <w:rsid w:val="0069726E"/>
    <w:rsid w:val="006973ED"/>
    <w:rsid w:val="006A0136"/>
    <w:rsid w:val="006A3732"/>
    <w:rsid w:val="006A39A7"/>
    <w:rsid w:val="006A45D3"/>
    <w:rsid w:val="006A4B7A"/>
    <w:rsid w:val="006A4BE4"/>
    <w:rsid w:val="006A64FE"/>
    <w:rsid w:val="006A6619"/>
    <w:rsid w:val="006A6FF3"/>
    <w:rsid w:val="006A70CD"/>
    <w:rsid w:val="006A7236"/>
    <w:rsid w:val="006A7249"/>
    <w:rsid w:val="006A75C8"/>
    <w:rsid w:val="006B0854"/>
    <w:rsid w:val="006B10DD"/>
    <w:rsid w:val="006B11BC"/>
    <w:rsid w:val="006B1BE4"/>
    <w:rsid w:val="006B1EB1"/>
    <w:rsid w:val="006B2F89"/>
    <w:rsid w:val="006B3797"/>
    <w:rsid w:val="006B3E32"/>
    <w:rsid w:val="006B4B24"/>
    <w:rsid w:val="006B4DCE"/>
    <w:rsid w:val="006B5400"/>
    <w:rsid w:val="006B5B6D"/>
    <w:rsid w:val="006B676A"/>
    <w:rsid w:val="006B7524"/>
    <w:rsid w:val="006B78B8"/>
    <w:rsid w:val="006B7C8E"/>
    <w:rsid w:val="006B7F2E"/>
    <w:rsid w:val="006C01CB"/>
    <w:rsid w:val="006C0B92"/>
    <w:rsid w:val="006C0D2E"/>
    <w:rsid w:val="006C12B9"/>
    <w:rsid w:val="006C158C"/>
    <w:rsid w:val="006C2691"/>
    <w:rsid w:val="006C2A70"/>
    <w:rsid w:val="006C2FDE"/>
    <w:rsid w:val="006C3892"/>
    <w:rsid w:val="006C3D64"/>
    <w:rsid w:val="006C4C00"/>
    <w:rsid w:val="006C5855"/>
    <w:rsid w:val="006C58CE"/>
    <w:rsid w:val="006C65FE"/>
    <w:rsid w:val="006C67B0"/>
    <w:rsid w:val="006C6EB0"/>
    <w:rsid w:val="006C7FF8"/>
    <w:rsid w:val="006D02A0"/>
    <w:rsid w:val="006D03DA"/>
    <w:rsid w:val="006D267C"/>
    <w:rsid w:val="006D4066"/>
    <w:rsid w:val="006D479A"/>
    <w:rsid w:val="006D5B6E"/>
    <w:rsid w:val="006D63EA"/>
    <w:rsid w:val="006D7146"/>
    <w:rsid w:val="006E0C56"/>
    <w:rsid w:val="006E2097"/>
    <w:rsid w:val="006E2671"/>
    <w:rsid w:val="006E2C2D"/>
    <w:rsid w:val="006E31A9"/>
    <w:rsid w:val="006E4A0D"/>
    <w:rsid w:val="006E6A29"/>
    <w:rsid w:val="006E6B99"/>
    <w:rsid w:val="006E7295"/>
    <w:rsid w:val="006E77E9"/>
    <w:rsid w:val="006E798C"/>
    <w:rsid w:val="006F0149"/>
    <w:rsid w:val="006F1CDE"/>
    <w:rsid w:val="006F2CC0"/>
    <w:rsid w:val="006F2EE5"/>
    <w:rsid w:val="006F36C8"/>
    <w:rsid w:val="006F3E32"/>
    <w:rsid w:val="006F5DAE"/>
    <w:rsid w:val="006F6890"/>
    <w:rsid w:val="006F765E"/>
    <w:rsid w:val="00700F0C"/>
    <w:rsid w:val="0070102C"/>
    <w:rsid w:val="007018F4"/>
    <w:rsid w:val="007033FA"/>
    <w:rsid w:val="0070388E"/>
    <w:rsid w:val="00704A55"/>
    <w:rsid w:val="007057CB"/>
    <w:rsid w:val="00710239"/>
    <w:rsid w:val="00710A24"/>
    <w:rsid w:val="00712FDC"/>
    <w:rsid w:val="0071307C"/>
    <w:rsid w:val="00714A1C"/>
    <w:rsid w:val="00716EF8"/>
    <w:rsid w:val="00717C12"/>
    <w:rsid w:val="007212B6"/>
    <w:rsid w:val="007226EF"/>
    <w:rsid w:val="007228EF"/>
    <w:rsid w:val="0072454A"/>
    <w:rsid w:val="0072676D"/>
    <w:rsid w:val="00726E9E"/>
    <w:rsid w:val="0072754F"/>
    <w:rsid w:val="00727D9C"/>
    <w:rsid w:val="007301AD"/>
    <w:rsid w:val="007326F3"/>
    <w:rsid w:val="007329A2"/>
    <w:rsid w:val="00732BCC"/>
    <w:rsid w:val="00733631"/>
    <w:rsid w:val="00733A41"/>
    <w:rsid w:val="007340AC"/>
    <w:rsid w:val="0073439F"/>
    <w:rsid w:val="00734BF6"/>
    <w:rsid w:val="00735017"/>
    <w:rsid w:val="00736030"/>
    <w:rsid w:val="007372E4"/>
    <w:rsid w:val="007407C1"/>
    <w:rsid w:val="00742C11"/>
    <w:rsid w:val="0074341B"/>
    <w:rsid w:val="00743426"/>
    <w:rsid w:val="0074452B"/>
    <w:rsid w:val="007448C4"/>
    <w:rsid w:val="00745974"/>
    <w:rsid w:val="00745A63"/>
    <w:rsid w:val="00745F67"/>
    <w:rsid w:val="007464B9"/>
    <w:rsid w:val="0074700D"/>
    <w:rsid w:val="0074741D"/>
    <w:rsid w:val="007474C5"/>
    <w:rsid w:val="00747A86"/>
    <w:rsid w:val="007504B9"/>
    <w:rsid w:val="0075162B"/>
    <w:rsid w:val="00751B39"/>
    <w:rsid w:val="00752FED"/>
    <w:rsid w:val="0075389D"/>
    <w:rsid w:val="00753C2F"/>
    <w:rsid w:val="0075436E"/>
    <w:rsid w:val="00755C7F"/>
    <w:rsid w:val="00755F1C"/>
    <w:rsid w:val="007568FE"/>
    <w:rsid w:val="0076113B"/>
    <w:rsid w:val="007616EE"/>
    <w:rsid w:val="007617D9"/>
    <w:rsid w:val="00761B6E"/>
    <w:rsid w:val="00762FA9"/>
    <w:rsid w:val="0076337C"/>
    <w:rsid w:val="00763744"/>
    <w:rsid w:val="007645A8"/>
    <w:rsid w:val="007654EA"/>
    <w:rsid w:val="00765BF5"/>
    <w:rsid w:val="00766099"/>
    <w:rsid w:val="007664A2"/>
    <w:rsid w:val="00767678"/>
    <w:rsid w:val="007678A6"/>
    <w:rsid w:val="007678D8"/>
    <w:rsid w:val="00767FEC"/>
    <w:rsid w:val="0077102C"/>
    <w:rsid w:val="007714DE"/>
    <w:rsid w:val="00771EAD"/>
    <w:rsid w:val="007725AD"/>
    <w:rsid w:val="007762C6"/>
    <w:rsid w:val="0077767B"/>
    <w:rsid w:val="00777D3D"/>
    <w:rsid w:val="007800A6"/>
    <w:rsid w:val="00780F86"/>
    <w:rsid w:val="0078357C"/>
    <w:rsid w:val="00783AFE"/>
    <w:rsid w:val="00783EA5"/>
    <w:rsid w:val="0078484C"/>
    <w:rsid w:val="00787E50"/>
    <w:rsid w:val="00787F31"/>
    <w:rsid w:val="00790614"/>
    <w:rsid w:val="00795AA3"/>
    <w:rsid w:val="007979E8"/>
    <w:rsid w:val="007A0B41"/>
    <w:rsid w:val="007A2649"/>
    <w:rsid w:val="007A3468"/>
    <w:rsid w:val="007A4389"/>
    <w:rsid w:val="007A4661"/>
    <w:rsid w:val="007A5672"/>
    <w:rsid w:val="007A6F48"/>
    <w:rsid w:val="007B1378"/>
    <w:rsid w:val="007B2402"/>
    <w:rsid w:val="007B276E"/>
    <w:rsid w:val="007B3DD0"/>
    <w:rsid w:val="007B4E70"/>
    <w:rsid w:val="007B5901"/>
    <w:rsid w:val="007B5C25"/>
    <w:rsid w:val="007B6548"/>
    <w:rsid w:val="007B7662"/>
    <w:rsid w:val="007B7FA2"/>
    <w:rsid w:val="007C08F7"/>
    <w:rsid w:val="007C1128"/>
    <w:rsid w:val="007C1675"/>
    <w:rsid w:val="007C25AE"/>
    <w:rsid w:val="007C2867"/>
    <w:rsid w:val="007C4023"/>
    <w:rsid w:val="007C4DE8"/>
    <w:rsid w:val="007C5402"/>
    <w:rsid w:val="007C5E3D"/>
    <w:rsid w:val="007C6684"/>
    <w:rsid w:val="007C69B9"/>
    <w:rsid w:val="007C6A81"/>
    <w:rsid w:val="007C7D1D"/>
    <w:rsid w:val="007C7F4B"/>
    <w:rsid w:val="007D03EE"/>
    <w:rsid w:val="007D0AD7"/>
    <w:rsid w:val="007D0E02"/>
    <w:rsid w:val="007D1D1E"/>
    <w:rsid w:val="007D23CC"/>
    <w:rsid w:val="007D3058"/>
    <w:rsid w:val="007D3B10"/>
    <w:rsid w:val="007D462D"/>
    <w:rsid w:val="007D46FC"/>
    <w:rsid w:val="007D4903"/>
    <w:rsid w:val="007D5963"/>
    <w:rsid w:val="007D5C66"/>
    <w:rsid w:val="007D5FE7"/>
    <w:rsid w:val="007D7772"/>
    <w:rsid w:val="007E05CA"/>
    <w:rsid w:val="007E0BDA"/>
    <w:rsid w:val="007E25AD"/>
    <w:rsid w:val="007E25EB"/>
    <w:rsid w:val="007E312D"/>
    <w:rsid w:val="007E3AF4"/>
    <w:rsid w:val="007E4880"/>
    <w:rsid w:val="007E4EFC"/>
    <w:rsid w:val="007E5594"/>
    <w:rsid w:val="007E5BA9"/>
    <w:rsid w:val="007E637C"/>
    <w:rsid w:val="007E6A18"/>
    <w:rsid w:val="007E72DE"/>
    <w:rsid w:val="007F09F4"/>
    <w:rsid w:val="007F1364"/>
    <w:rsid w:val="007F3BAA"/>
    <w:rsid w:val="007F47C9"/>
    <w:rsid w:val="007F4A04"/>
    <w:rsid w:val="007F5BDF"/>
    <w:rsid w:val="007F647C"/>
    <w:rsid w:val="007F693F"/>
    <w:rsid w:val="007F74C1"/>
    <w:rsid w:val="0080041B"/>
    <w:rsid w:val="00800A0B"/>
    <w:rsid w:val="00802101"/>
    <w:rsid w:val="008025AC"/>
    <w:rsid w:val="0080275B"/>
    <w:rsid w:val="00802BD8"/>
    <w:rsid w:val="00802F81"/>
    <w:rsid w:val="00803FAC"/>
    <w:rsid w:val="00804E3D"/>
    <w:rsid w:val="00804F0A"/>
    <w:rsid w:val="00804F0F"/>
    <w:rsid w:val="00805079"/>
    <w:rsid w:val="008062BE"/>
    <w:rsid w:val="00806F39"/>
    <w:rsid w:val="00807C6E"/>
    <w:rsid w:val="00810F42"/>
    <w:rsid w:val="00810FD1"/>
    <w:rsid w:val="008120F6"/>
    <w:rsid w:val="00812759"/>
    <w:rsid w:val="00813446"/>
    <w:rsid w:val="008138A9"/>
    <w:rsid w:val="00813E8E"/>
    <w:rsid w:val="008141D7"/>
    <w:rsid w:val="00814574"/>
    <w:rsid w:val="0081496C"/>
    <w:rsid w:val="00816211"/>
    <w:rsid w:val="00817089"/>
    <w:rsid w:val="008218CD"/>
    <w:rsid w:val="00821E00"/>
    <w:rsid w:val="008228B8"/>
    <w:rsid w:val="00825299"/>
    <w:rsid w:val="00826219"/>
    <w:rsid w:val="00827233"/>
    <w:rsid w:val="0082768B"/>
    <w:rsid w:val="008310E9"/>
    <w:rsid w:val="0083222F"/>
    <w:rsid w:val="008334C2"/>
    <w:rsid w:val="00834C65"/>
    <w:rsid w:val="00834F0D"/>
    <w:rsid w:val="00835237"/>
    <w:rsid w:val="0083541D"/>
    <w:rsid w:val="0083595C"/>
    <w:rsid w:val="00835F09"/>
    <w:rsid w:val="0083634B"/>
    <w:rsid w:val="0083708A"/>
    <w:rsid w:val="00840116"/>
    <w:rsid w:val="00840D3F"/>
    <w:rsid w:val="00843211"/>
    <w:rsid w:val="00844186"/>
    <w:rsid w:val="00844ECF"/>
    <w:rsid w:val="00845A92"/>
    <w:rsid w:val="00846541"/>
    <w:rsid w:val="00846DE6"/>
    <w:rsid w:val="00847523"/>
    <w:rsid w:val="008501CC"/>
    <w:rsid w:val="00850D45"/>
    <w:rsid w:val="0085217C"/>
    <w:rsid w:val="00852352"/>
    <w:rsid w:val="008523C2"/>
    <w:rsid w:val="0085269A"/>
    <w:rsid w:val="00852BA0"/>
    <w:rsid w:val="008539A7"/>
    <w:rsid w:val="00855077"/>
    <w:rsid w:val="0085560B"/>
    <w:rsid w:val="00856069"/>
    <w:rsid w:val="008562F1"/>
    <w:rsid w:val="00857249"/>
    <w:rsid w:val="00857B0A"/>
    <w:rsid w:val="00857B3D"/>
    <w:rsid w:val="008603AC"/>
    <w:rsid w:val="00860E32"/>
    <w:rsid w:val="00862276"/>
    <w:rsid w:val="008623F8"/>
    <w:rsid w:val="00862BEF"/>
    <w:rsid w:val="00863576"/>
    <w:rsid w:val="00863FC5"/>
    <w:rsid w:val="00863FF7"/>
    <w:rsid w:val="00864E69"/>
    <w:rsid w:val="00865932"/>
    <w:rsid w:val="00866174"/>
    <w:rsid w:val="0086662D"/>
    <w:rsid w:val="008669C1"/>
    <w:rsid w:val="00866B10"/>
    <w:rsid w:val="0086787C"/>
    <w:rsid w:val="00872CFA"/>
    <w:rsid w:val="0087302C"/>
    <w:rsid w:val="0087367C"/>
    <w:rsid w:val="00874271"/>
    <w:rsid w:val="008742E2"/>
    <w:rsid w:val="0087527D"/>
    <w:rsid w:val="00875774"/>
    <w:rsid w:val="00875858"/>
    <w:rsid w:val="00876BC7"/>
    <w:rsid w:val="008775A6"/>
    <w:rsid w:val="008776DA"/>
    <w:rsid w:val="00877A72"/>
    <w:rsid w:val="00877BBA"/>
    <w:rsid w:val="00877C31"/>
    <w:rsid w:val="0088057C"/>
    <w:rsid w:val="00880D9A"/>
    <w:rsid w:val="008814CC"/>
    <w:rsid w:val="00882EB5"/>
    <w:rsid w:val="00885A90"/>
    <w:rsid w:val="00885D68"/>
    <w:rsid w:val="00886773"/>
    <w:rsid w:val="00887103"/>
    <w:rsid w:val="00887597"/>
    <w:rsid w:val="00887959"/>
    <w:rsid w:val="0089090A"/>
    <w:rsid w:val="00890D28"/>
    <w:rsid w:val="008923B8"/>
    <w:rsid w:val="0089337C"/>
    <w:rsid w:val="00893528"/>
    <w:rsid w:val="008945F4"/>
    <w:rsid w:val="008966BC"/>
    <w:rsid w:val="008969AF"/>
    <w:rsid w:val="008A1575"/>
    <w:rsid w:val="008A175C"/>
    <w:rsid w:val="008A1A4E"/>
    <w:rsid w:val="008A259A"/>
    <w:rsid w:val="008A3AF4"/>
    <w:rsid w:val="008A3F11"/>
    <w:rsid w:val="008A4131"/>
    <w:rsid w:val="008A4280"/>
    <w:rsid w:val="008A4F3E"/>
    <w:rsid w:val="008A67BC"/>
    <w:rsid w:val="008A7D7F"/>
    <w:rsid w:val="008B048D"/>
    <w:rsid w:val="008B3D24"/>
    <w:rsid w:val="008B4E45"/>
    <w:rsid w:val="008B5BAF"/>
    <w:rsid w:val="008B6477"/>
    <w:rsid w:val="008B7F46"/>
    <w:rsid w:val="008C06BD"/>
    <w:rsid w:val="008C111A"/>
    <w:rsid w:val="008C11AE"/>
    <w:rsid w:val="008C134B"/>
    <w:rsid w:val="008C1ECD"/>
    <w:rsid w:val="008C28E6"/>
    <w:rsid w:val="008C366B"/>
    <w:rsid w:val="008C48A8"/>
    <w:rsid w:val="008C5B46"/>
    <w:rsid w:val="008C63D6"/>
    <w:rsid w:val="008C63DB"/>
    <w:rsid w:val="008C70A1"/>
    <w:rsid w:val="008D0705"/>
    <w:rsid w:val="008D0CE5"/>
    <w:rsid w:val="008D0FA8"/>
    <w:rsid w:val="008D143A"/>
    <w:rsid w:val="008D1ADD"/>
    <w:rsid w:val="008D230C"/>
    <w:rsid w:val="008D2DF1"/>
    <w:rsid w:val="008D36DB"/>
    <w:rsid w:val="008D4094"/>
    <w:rsid w:val="008D46D2"/>
    <w:rsid w:val="008D4B4F"/>
    <w:rsid w:val="008D7304"/>
    <w:rsid w:val="008D7F41"/>
    <w:rsid w:val="008E05B0"/>
    <w:rsid w:val="008E0C3D"/>
    <w:rsid w:val="008E0D8D"/>
    <w:rsid w:val="008E2295"/>
    <w:rsid w:val="008E24E4"/>
    <w:rsid w:val="008E2D1D"/>
    <w:rsid w:val="008E33D2"/>
    <w:rsid w:val="008E463A"/>
    <w:rsid w:val="008E5A0E"/>
    <w:rsid w:val="008E6109"/>
    <w:rsid w:val="008E667F"/>
    <w:rsid w:val="008E6D4B"/>
    <w:rsid w:val="008F0E80"/>
    <w:rsid w:val="008F151F"/>
    <w:rsid w:val="008F18CE"/>
    <w:rsid w:val="008F1AA4"/>
    <w:rsid w:val="008F2C43"/>
    <w:rsid w:val="008F2D02"/>
    <w:rsid w:val="008F2FD6"/>
    <w:rsid w:val="008F31DC"/>
    <w:rsid w:val="008F435A"/>
    <w:rsid w:val="008F5353"/>
    <w:rsid w:val="008F6291"/>
    <w:rsid w:val="008F63B2"/>
    <w:rsid w:val="008F6D39"/>
    <w:rsid w:val="008F7BF9"/>
    <w:rsid w:val="009006D0"/>
    <w:rsid w:val="0090084D"/>
    <w:rsid w:val="00900CDB"/>
    <w:rsid w:val="009023F1"/>
    <w:rsid w:val="009023F5"/>
    <w:rsid w:val="00902DDB"/>
    <w:rsid w:val="009035A4"/>
    <w:rsid w:val="00903B85"/>
    <w:rsid w:val="0090415B"/>
    <w:rsid w:val="00906159"/>
    <w:rsid w:val="0090769B"/>
    <w:rsid w:val="00907B98"/>
    <w:rsid w:val="00907C6B"/>
    <w:rsid w:val="00910195"/>
    <w:rsid w:val="00910335"/>
    <w:rsid w:val="009106A5"/>
    <w:rsid w:val="00912910"/>
    <w:rsid w:val="0091302A"/>
    <w:rsid w:val="00913134"/>
    <w:rsid w:val="00913879"/>
    <w:rsid w:val="009140A9"/>
    <w:rsid w:val="009158EE"/>
    <w:rsid w:val="009164A3"/>
    <w:rsid w:val="00916646"/>
    <w:rsid w:val="009167DC"/>
    <w:rsid w:val="0092008F"/>
    <w:rsid w:val="00920C39"/>
    <w:rsid w:val="009217A2"/>
    <w:rsid w:val="0092215E"/>
    <w:rsid w:val="009226DE"/>
    <w:rsid w:val="009233BF"/>
    <w:rsid w:val="009234A3"/>
    <w:rsid w:val="00923626"/>
    <w:rsid w:val="00923B2C"/>
    <w:rsid w:val="0092403D"/>
    <w:rsid w:val="009241D2"/>
    <w:rsid w:val="00925BD0"/>
    <w:rsid w:val="00931A53"/>
    <w:rsid w:val="009333AF"/>
    <w:rsid w:val="00933E07"/>
    <w:rsid w:val="00934204"/>
    <w:rsid w:val="009344AD"/>
    <w:rsid w:val="00934DDC"/>
    <w:rsid w:val="00935551"/>
    <w:rsid w:val="00936D98"/>
    <w:rsid w:val="0093739E"/>
    <w:rsid w:val="00940A41"/>
    <w:rsid w:val="00940AF2"/>
    <w:rsid w:val="00941B7D"/>
    <w:rsid w:val="00941C8F"/>
    <w:rsid w:val="0094380E"/>
    <w:rsid w:val="0094454B"/>
    <w:rsid w:val="00944B45"/>
    <w:rsid w:val="0094509E"/>
    <w:rsid w:val="009459BB"/>
    <w:rsid w:val="009464A1"/>
    <w:rsid w:val="009502F8"/>
    <w:rsid w:val="00950743"/>
    <w:rsid w:val="00952AE4"/>
    <w:rsid w:val="00953157"/>
    <w:rsid w:val="00953EE8"/>
    <w:rsid w:val="009542AD"/>
    <w:rsid w:val="009550E9"/>
    <w:rsid w:val="0095647F"/>
    <w:rsid w:val="0095677C"/>
    <w:rsid w:val="00956A94"/>
    <w:rsid w:val="009572FF"/>
    <w:rsid w:val="009604D1"/>
    <w:rsid w:val="00960550"/>
    <w:rsid w:val="00961197"/>
    <w:rsid w:val="0096179E"/>
    <w:rsid w:val="00962A97"/>
    <w:rsid w:val="00962D26"/>
    <w:rsid w:val="00963125"/>
    <w:rsid w:val="009637BF"/>
    <w:rsid w:val="009640EF"/>
    <w:rsid w:val="0097190B"/>
    <w:rsid w:val="00971AB5"/>
    <w:rsid w:val="00971ABA"/>
    <w:rsid w:val="00971E05"/>
    <w:rsid w:val="00972103"/>
    <w:rsid w:val="00973A8C"/>
    <w:rsid w:val="009743BF"/>
    <w:rsid w:val="009749D5"/>
    <w:rsid w:val="00975937"/>
    <w:rsid w:val="00975A61"/>
    <w:rsid w:val="0097656D"/>
    <w:rsid w:val="00976846"/>
    <w:rsid w:val="009777FF"/>
    <w:rsid w:val="00977EAE"/>
    <w:rsid w:val="00980880"/>
    <w:rsid w:val="0098315B"/>
    <w:rsid w:val="00983602"/>
    <w:rsid w:val="00983924"/>
    <w:rsid w:val="00984145"/>
    <w:rsid w:val="00985175"/>
    <w:rsid w:val="00985EAF"/>
    <w:rsid w:val="0098755F"/>
    <w:rsid w:val="0099088E"/>
    <w:rsid w:val="00990C0A"/>
    <w:rsid w:val="00990C1A"/>
    <w:rsid w:val="00992196"/>
    <w:rsid w:val="009931D8"/>
    <w:rsid w:val="00993215"/>
    <w:rsid w:val="00993807"/>
    <w:rsid w:val="00993A28"/>
    <w:rsid w:val="0099434E"/>
    <w:rsid w:val="009950CF"/>
    <w:rsid w:val="009A0F10"/>
    <w:rsid w:val="009A28D0"/>
    <w:rsid w:val="009A3EAE"/>
    <w:rsid w:val="009A418E"/>
    <w:rsid w:val="009A43A0"/>
    <w:rsid w:val="009A498B"/>
    <w:rsid w:val="009A4BF3"/>
    <w:rsid w:val="009A50E4"/>
    <w:rsid w:val="009A523A"/>
    <w:rsid w:val="009A536A"/>
    <w:rsid w:val="009A5801"/>
    <w:rsid w:val="009A6714"/>
    <w:rsid w:val="009A6FCF"/>
    <w:rsid w:val="009A7778"/>
    <w:rsid w:val="009B0356"/>
    <w:rsid w:val="009B2F77"/>
    <w:rsid w:val="009B3A15"/>
    <w:rsid w:val="009B5B49"/>
    <w:rsid w:val="009B6842"/>
    <w:rsid w:val="009B6ABE"/>
    <w:rsid w:val="009B6F24"/>
    <w:rsid w:val="009B712C"/>
    <w:rsid w:val="009C09FF"/>
    <w:rsid w:val="009C0FEB"/>
    <w:rsid w:val="009C1FEB"/>
    <w:rsid w:val="009C25D6"/>
    <w:rsid w:val="009C3F89"/>
    <w:rsid w:val="009C4BC7"/>
    <w:rsid w:val="009C6439"/>
    <w:rsid w:val="009C6AF8"/>
    <w:rsid w:val="009C7BDE"/>
    <w:rsid w:val="009D0C54"/>
    <w:rsid w:val="009D132C"/>
    <w:rsid w:val="009D1745"/>
    <w:rsid w:val="009D281B"/>
    <w:rsid w:val="009D2B9C"/>
    <w:rsid w:val="009D2EFB"/>
    <w:rsid w:val="009D42CF"/>
    <w:rsid w:val="009D48F9"/>
    <w:rsid w:val="009D4986"/>
    <w:rsid w:val="009D5360"/>
    <w:rsid w:val="009D5B3F"/>
    <w:rsid w:val="009E037F"/>
    <w:rsid w:val="009E0718"/>
    <w:rsid w:val="009E1007"/>
    <w:rsid w:val="009E11DA"/>
    <w:rsid w:val="009E18AD"/>
    <w:rsid w:val="009E1EBE"/>
    <w:rsid w:val="009E2156"/>
    <w:rsid w:val="009E25CE"/>
    <w:rsid w:val="009E2DFB"/>
    <w:rsid w:val="009E31AF"/>
    <w:rsid w:val="009E4120"/>
    <w:rsid w:val="009E41DB"/>
    <w:rsid w:val="009E4271"/>
    <w:rsid w:val="009E4425"/>
    <w:rsid w:val="009E488E"/>
    <w:rsid w:val="009E48B7"/>
    <w:rsid w:val="009E49E3"/>
    <w:rsid w:val="009E5914"/>
    <w:rsid w:val="009E5AAA"/>
    <w:rsid w:val="009E5CA4"/>
    <w:rsid w:val="009E5DA0"/>
    <w:rsid w:val="009E6E7E"/>
    <w:rsid w:val="009F0D9B"/>
    <w:rsid w:val="009F2CA0"/>
    <w:rsid w:val="009F366F"/>
    <w:rsid w:val="009F4693"/>
    <w:rsid w:val="009F64F9"/>
    <w:rsid w:val="009F6C1F"/>
    <w:rsid w:val="009F6E24"/>
    <w:rsid w:val="009F7401"/>
    <w:rsid w:val="009F79E6"/>
    <w:rsid w:val="00A000DE"/>
    <w:rsid w:val="00A01109"/>
    <w:rsid w:val="00A021F9"/>
    <w:rsid w:val="00A032BE"/>
    <w:rsid w:val="00A03334"/>
    <w:rsid w:val="00A03FB6"/>
    <w:rsid w:val="00A04265"/>
    <w:rsid w:val="00A0793B"/>
    <w:rsid w:val="00A11891"/>
    <w:rsid w:val="00A119D5"/>
    <w:rsid w:val="00A11B1D"/>
    <w:rsid w:val="00A12AF1"/>
    <w:rsid w:val="00A13F42"/>
    <w:rsid w:val="00A14625"/>
    <w:rsid w:val="00A14EFB"/>
    <w:rsid w:val="00A1528B"/>
    <w:rsid w:val="00A16520"/>
    <w:rsid w:val="00A17999"/>
    <w:rsid w:val="00A17AA6"/>
    <w:rsid w:val="00A17BA4"/>
    <w:rsid w:val="00A17C84"/>
    <w:rsid w:val="00A219D8"/>
    <w:rsid w:val="00A22DD2"/>
    <w:rsid w:val="00A22F99"/>
    <w:rsid w:val="00A2373F"/>
    <w:rsid w:val="00A25E39"/>
    <w:rsid w:val="00A26D12"/>
    <w:rsid w:val="00A27640"/>
    <w:rsid w:val="00A30001"/>
    <w:rsid w:val="00A309DB"/>
    <w:rsid w:val="00A31568"/>
    <w:rsid w:val="00A32F48"/>
    <w:rsid w:val="00A3353B"/>
    <w:rsid w:val="00A33B93"/>
    <w:rsid w:val="00A340DA"/>
    <w:rsid w:val="00A360C3"/>
    <w:rsid w:val="00A365DA"/>
    <w:rsid w:val="00A36A9D"/>
    <w:rsid w:val="00A36CA5"/>
    <w:rsid w:val="00A36D19"/>
    <w:rsid w:val="00A37E71"/>
    <w:rsid w:val="00A37FCB"/>
    <w:rsid w:val="00A40060"/>
    <w:rsid w:val="00A40285"/>
    <w:rsid w:val="00A4095E"/>
    <w:rsid w:val="00A40FC6"/>
    <w:rsid w:val="00A41BBA"/>
    <w:rsid w:val="00A41C17"/>
    <w:rsid w:val="00A4212D"/>
    <w:rsid w:val="00A429F9"/>
    <w:rsid w:val="00A43442"/>
    <w:rsid w:val="00A43BF1"/>
    <w:rsid w:val="00A44689"/>
    <w:rsid w:val="00A44A41"/>
    <w:rsid w:val="00A456A8"/>
    <w:rsid w:val="00A45F71"/>
    <w:rsid w:val="00A46722"/>
    <w:rsid w:val="00A46A0F"/>
    <w:rsid w:val="00A46FF9"/>
    <w:rsid w:val="00A5003F"/>
    <w:rsid w:val="00A5054F"/>
    <w:rsid w:val="00A50E1E"/>
    <w:rsid w:val="00A510D2"/>
    <w:rsid w:val="00A51141"/>
    <w:rsid w:val="00A51C69"/>
    <w:rsid w:val="00A51EA3"/>
    <w:rsid w:val="00A52D4B"/>
    <w:rsid w:val="00A5349B"/>
    <w:rsid w:val="00A54567"/>
    <w:rsid w:val="00A54D2B"/>
    <w:rsid w:val="00A553A7"/>
    <w:rsid w:val="00A556E5"/>
    <w:rsid w:val="00A56B3D"/>
    <w:rsid w:val="00A600C3"/>
    <w:rsid w:val="00A612FC"/>
    <w:rsid w:val="00A61F9A"/>
    <w:rsid w:val="00A624D3"/>
    <w:rsid w:val="00A62C08"/>
    <w:rsid w:val="00A6347E"/>
    <w:rsid w:val="00A63E37"/>
    <w:rsid w:val="00A64797"/>
    <w:rsid w:val="00A64AE7"/>
    <w:rsid w:val="00A651D4"/>
    <w:rsid w:val="00A65D6C"/>
    <w:rsid w:val="00A65FE6"/>
    <w:rsid w:val="00A66AF2"/>
    <w:rsid w:val="00A66D92"/>
    <w:rsid w:val="00A67352"/>
    <w:rsid w:val="00A6767D"/>
    <w:rsid w:val="00A67A1E"/>
    <w:rsid w:val="00A71933"/>
    <w:rsid w:val="00A71C97"/>
    <w:rsid w:val="00A73AAD"/>
    <w:rsid w:val="00A76468"/>
    <w:rsid w:val="00A80335"/>
    <w:rsid w:val="00A80373"/>
    <w:rsid w:val="00A81FB7"/>
    <w:rsid w:val="00A82E1A"/>
    <w:rsid w:val="00A83B49"/>
    <w:rsid w:val="00A83BAF"/>
    <w:rsid w:val="00A868DE"/>
    <w:rsid w:val="00A86E31"/>
    <w:rsid w:val="00A87808"/>
    <w:rsid w:val="00A908D0"/>
    <w:rsid w:val="00A91406"/>
    <w:rsid w:val="00A92223"/>
    <w:rsid w:val="00A939EF"/>
    <w:rsid w:val="00A95AF7"/>
    <w:rsid w:val="00A95BC4"/>
    <w:rsid w:val="00A9683D"/>
    <w:rsid w:val="00A96F4F"/>
    <w:rsid w:val="00A97A97"/>
    <w:rsid w:val="00AA135C"/>
    <w:rsid w:val="00AA1EF9"/>
    <w:rsid w:val="00AA34D3"/>
    <w:rsid w:val="00AA459C"/>
    <w:rsid w:val="00AA464B"/>
    <w:rsid w:val="00AA5D42"/>
    <w:rsid w:val="00AA5F1E"/>
    <w:rsid w:val="00AA6973"/>
    <w:rsid w:val="00AA6B04"/>
    <w:rsid w:val="00AA6B7F"/>
    <w:rsid w:val="00AB1140"/>
    <w:rsid w:val="00AB1640"/>
    <w:rsid w:val="00AB272A"/>
    <w:rsid w:val="00AB2819"/>
    <w:rsid w:val="00AB2B43"/>
    <w:rsid w:val="00AB367D"/>
    <w:rsid w:val="00AB4540"/>
    <w:rsid w:val="00AB4719"/>
    <w:rsid w:val="00AB4B6A"/>
    <w:rsid w:val="00AB52F4"/>
    <w:rsid w:val="00AB6260"/>
    <w:rsid w:val="00AB6AD0"/>
    <w:rsid w:val="00AB7A1E"/>
    <w:rsid w:val="00AC050E"/>
    <w:rsid w:val="00AC0C74"/>
    <w:rsid w:val="00AC0FAE"/>
    <w:rsid w:val="00AC1820"/>
    <w:rsid w:val="00AC194B"/>
    <w:rsid w:val="00AC21DD"/>
    <w:rsid w:val="00AC2EC1"/>
    <w:rsid w:val="00AC3D25"/>
    <w:rsid w:val="00AC40A3"/>
    <w:rsid w:val="00AC5833"/>
    <w:rsid w:val="00AC65AD"/>
    <w:rsid w:val="00AC6D83"/>
    <w:rsid w:val="00AD0135"/>
    <w:rsid w:val="00AD14FC"/>
    <w:rsid w:val="00AD1D64"/>
    <w:rsid w:val="00AD2601"/>
    <w:rsid w:val="00AD27B7"/>
    <w:rsid w:val="00AD4374"/>
    <w:rsid w:val="00AD4502"/>
    <w:rsid w:val="00AD4873"/>
    <w:rsid w:val="00AD7CC0"/>
    <w:rsid w:val="00AE19DB"/>
    <w:rsid w:val="00AE346E"/>
    <w:rsid w:val="00AE410D"/>
    <w:rsid w:val="00AE45F6"/>
    <w:rsid w:val="00AE4968"/>
    <w:rsid w:val="00AE5B71"/>
    <w:rsid w:val="00AE6695"/>
    <w:rsid w:val="00AF098D"/>
    <w:rsid w:val="00AF11A9"/>
    <w:rsid w:val="00AF138F"/>
    <w:rsid w:val="00AF1FDC"/>
    <w:rsid w:val="00AF44FD"/>
    <w:rsid w:val="00AF4B41"/>
    <w:rsid w:val="00AF52A3"/>
    <w:rsid w:val="00AF6993"/>
    <w:rsid w:val="00AF69BC"/>
    <w:rsid w:val="00AF7386"/>
    <w:rsid w:val="00AF7786"/>
    <w:rsid w:val="00B00CF7"/>
    <w:rsid w:val="00B01C1C"/>
    <w:rsid w:val="00B027CA"/>
    <w:rsid w:val="00B02B42"/>
    <w:rsid w:val="00B041CF"/>
    <w:rsid w:val="00B04C0F"/>
    <w:rsid w:val="00B05544"/>
    <w:rsid w:val="00B05C7C"/>
    <w:rsid w:val="00B05CC4"/>
    <w:rsid w:val="00B0724D"/>
    <w:rsid w:val="00B07ADD"/>
    <w:rsid w:val="00B10489"/>
    <w:rsid w:val="00B1130E"/>
    <w:rsid w:val="00B113EF"/>
    <w:rsid w:val="00B11706"/>
    <w:rsid w:val="00B11BB2"/>
    <w:rsid w:val="00B12792"/>
    <w:rsid w:val="00B12B40"/>
    <w:rsid w:val="00B13AC9"/>
    <w:rsid w:val="00B1412B"/>
    <w:rsid w:val="00B153C4"/>
    <w:rsid w:val="00B1568A"/>
    <w:rsid w:val="00B161AB"/>
    <w:rsid w:val="00B163B9"/>
    <w:rsid w:val="00B16BB7"/>
    <w:rsid w:val="00B2003B"/>
    <w:rsid w:val="00B214E4"/>
    <w:rsid w:val="00B2156F"/>
    <w:rsid w:val="00B2192D"/>
    <w:rsid w:val="00B2196D"/>
    <w:rsid w:val="00B22057"/>
    <w:rsid w:val="00B223A3"/>
    <w:rsid w:val="00B23136"/>
    <w:rsid w:val="00B257B5"/>
    <w:rsid w:val="00B261C1"/>
    <w:rsid w:val="00B268BF"/>
    <w:rsid w:val="00B26CA2"/>
    <w:rsid w:val="00B27EE6"/>
    <w:rsid w:val="00B30592"/>
    <w:rsid w:val="00B3061B"/>
    <w:rsid w:val="00B310F8"/>
    <w:rsid w:val="00B3119D"/>
    <w:rsid w:val="00B31697"/>
    <w:rsid w:val="00B32435"/>
    <w:rsid w:val="00B33D58"/>
    <w:rsid w:val="00B3419C"/>
    <w:rsid w:val="00B34B94"/>
    <w:rsid w:val="00B362BA"/>
    <w:rsid w:val="00B36F4E"/>
    <w:rsid w:val="00B401BC"/>
    <w:rsid w:val="00B4030F"/>
    <w:rsid w:val="00B404CC"/>
    <w:rsid w:val="00B4063E"/>
    <w:rsid w:val="00B41669"/>
    <w:rsid w:val="00B41AB2"/>
    <w:rsid w:val="00B41D02"/>
    <w:rsid w:val="00B4232A"/>
    <w:rsid w:val="00B43442"/>
    <w:rsid w:val="00B442D5"/>
    <w:rsid w:val="00B44F6C"/>
    <w:rsid w:val="00B45484"/>
    <w:rsid w:val="00B4594E"/>
    <w:rsid w:val="00B45E71"/>
    <w:rsid w:val="00B47F5D"/>
    <w:rsid w:val="00B5114D"/>
    <w:rsid w:val="00B516C7"/>
    <w:rsid w:val="00B51CF6"/>
    <w:rsid w:val="00B52C06"/>
    <w:rsid w:val="00B541A0"/>
    <w:rsid w:val="00B56438"/>
    <w:rsid w:val="00B569D7"/>
    <w:rsid w:val="00B56A44"/>
    <w:rsid w:val="00B57704"/>
    <w:rsid w:val="00B61EBD"/>
    <w:rsid w:val="00B62479"/>
    <w:rsid w:val="00B62FB4"/>
    <w:rsid w:val="00B6349B"/>
    <w:rsid w:val="00B649BA"/>
    <w:rsid w:val="00B64DF8"/>
    <w:rsid w:val="00B66332"/>
    <w:rsid w:val="00B66E8B"/>
    <w:rsid w:val="00B67BAF"/>
    <w:rsid w:val="00B711CC"/>
    <w:rsid w:val="00B714E2"/>
    <w:rsid w:val="00B7190C"/>
    <w:rsid w:val="00B71B55"/>
    <w:rsid w:val="00B71EB6"/>
    <w:rsid w:val="00B7238E"/>
    <w:rsid w:val="00B72458"/>
    <w:rsid w:val="00B736EA"/>
    <w:rsid w:val="00B73C17"/>
    <w:rsid w:val="00B74328"/>
    <w:rsid w:val="00B744F1"/>
    <w:rsid w:val="00B75242"/>
    <w:rsid w:val="00B75F07"/>
    <w:rsid w:val="00B75F5D"/>
    <w:rsid w:val="00B779C4"/>
    <w:rsid w:val="00B77D16"/>
    <w:rsid w:val="00B8088D"/>
    <w:rsid w:val="00B8124B"/>
    <w:rsid w:val="00B81C2E"/>
    <w:rsid w:val="00B81E14"/>
    <w:rsid w:val="00B822A1"/>
    <w:rsid w:val="00B82745"/>
    <w:rsid w:val="00B82CCB"/>
    <w:rsid w:val="00B848F9"/>
    <w:rsid w:val="00B854AD"/>
    <w:rsid w:val="00B854E5"/>
    <w:rsid w:val="00B85BEE"/>
    <w:rsid w:val="00B86346"/>
    <w:rsid w:val="00B86BA3"/>
    <w:rsid w:val="00B86E3B"/>
    <w:rsid w:val="00B87451"/>
    <w:rsid w:val="00B8750D"/>
    <w:rsid w:val="00B87D0B"/>
    <w:rsid w:val="00B909C2"/>
    <w:rsid w:val="00B90BF6"/>
    <w:rsid w:val="00B91C95"/>
    <w:rsid w:val="00B922FB"/>
    <w:rsid w:val="00B94447"/>
    <w:rsid w:val="00B948AA"/>
    <w:rsid w:val="00B950EB"/>
    <w:rsid w:val="00B951ED"/>
    <w:rsid w:val="00B953F0"/>
    <w:rsid w:val="00B95948"/>
    <w:rsid w:val="00B96122"/>
    <w:rsid w:val="00BA28EF"/>
    <w:rsid w:val="00BA3216"/>
    <w:rsid w:val="00BA3BAD"/>
    <w:rsid w:val="00BA425B"/>
    <w:rsid w:val="00BA4A7B"/>
    <w:rsid w:val="00BA6358"/>
    <w:rsid w:val="00BA6CF3"/>
    <w:rsid w:val="00BA6D32"/>
    <w:rsid w:val="00BA6FE7"/>
    <w:rsid w:val="00BA7510"/>
    <w:rsid w:val="00BA79D9"/>
    <w:rsid w:val="00BA7CD1"/>
    <w:rsid w:val="00BB08D8"/>
    <w:rsid w:val="00BB0BAC"/>
    <w:rsid w:val="00BB0FD7"/>
    <w:rsid w:val="00BB2BDC"/>
    <w:rsid w:val="00BB3E58"/>
    <w:rsid w:val="00BB407A"/>
    <w:rsid w:val="00BB4A9E"/>
    <w:rsid w:val="00BB58AF"/>
    <w:rsid w:val="00BB600E"/>
    <w:rsid w:val="00BB6A31"/>
    <w:rsid w:val="00BB6B6F"/>
    <w:rsid w:val="00BB7CA6"/>
    <w:rsid w:val="00BC062B"/>
    <w:rsid w:val="00BC0C9C"/>
    <w:rsid w:val="00BC179C"/>
    <w:rsid w:val="00BC187D"/>
    <w:rsid w:val="00BC34E2"/>
    <w:rsid w:val="00BC3C18"/>
    <w:rsid w:val="00BC3C52"/>
    <w:rsid w:val="00BC57BD"/>
    <w:rsid w:val="00BC6377"/>
    <w:rsid w:val="00BD034A"/>
    <w:rsid w:val="00BD0C21"/>
    <w:rsid w:val="00BD2379"/>
    <w:rsid w:val="00BD2969"/>
    <w:rsid w:val="00BD2EBC"/>
    <w:rsid w:val="00BD3305"/>
    <w:rsid w:val="00BD34BD"/>
    <w:rsid w:val="00BD4835"/>
    <w:rsid w:val="00BD52DD"/>
    <w:rsid w:val="00BD759C"/>
    <w:rsid w:val="00BD75F1"/>
    <w:rsid w:val="00BD77B2"/>
    <w:rsid w:val="00BD7BA9"/>
    <w:rsid w:val="00BD7C09"/>
    <w:rsid w:val="00BE05AE"/>
    <w:rsid w:val="00BE220D"/>
    <w:rsid w:val="00BE25FE"/>
    <w:rsid w:val="00BE345F"/>
    <w:rsid w:val="00BE3DE9"/>
    <w:rsid w:val="00BE4E3E"/>
    <w:rsid w:val="00BE4FEB"/>
    <w:rsid w:val="00BE561B"/>
    <w:rsid w:val="00BE596D"/>
    <w:rsid w:val="00BE5D64"/>
    <w:rsid w:val="00BE5EBB"/>
    <w:rsid w:val="00BF102A"/>
    <w:rsid w:val="00BF164F"/>
    <w:rsid w:val="00BF17F8"/>
    <w:rsid w:val="00BF1A84"/>
    <w:rsid w:val="00BF1F7C"/>
    <w:rsid w:val="00BF37F3"/>
    <w:rsid w:val="00BF3F7D"/>
    <w:rsid w:val="00BF4517"/>
    <w:rsid w:val="00BF4C93"/>
    <w:rsid w:val="00BF60C1"/>
    <w:rsid w:val="00BF69D3"/>
    <w:rsid w:val="00BF7B07"/>
    <w:rsid w:val="00C002ED"/>
    <w:rsid w:val="00C005F7"/>
    <w:rsid w:val="00C010DE"/>
    <w:rsid w:val="00C0234F"/>
    <w:rsid w:val="00C02C4A"/>
    <w:rsid w:val="00C031A9"/>
    <w:rsid w:val="00C03581"/>
    <w:rsid w:val="00C03EC5"/>
    <w:rsid w:val="00C04DCB"/>
    <w:rsid w:val="00C0560B"/>
    <w:rsid w:val="00C058C3"/>
    <w:rsid w:val="00C05C40"/>
    <w:rsid w:val="00C05D09"/>
    <w:rsid w:val="00C075CA"/>
    <w:rsid w:val="00C07D49"/>
    <w:rsid w:val="00C104FE"/>
    <w:rsid w:val="00C10660"/>
    <w:rsid w:val="00C1084D"/>
    <w:rsid w:val="00C10A0A"/>
    <w:rsid w:val="00C10DF0"/>
    <w:rsid w:val="00C1358B"/>
    <w:rsid w:val="00C1451D"/>
    <w:rsid w:val="00C14780"/>
    <w:rsid w:val="00C174C9"/>
    <w:rsid w:val="00C177EF"/>
    <w:rsid w:val="00C17C7C"/>
    <w:rsid w:val="00C201C3"/>
    <w:rsid w:val="00C2081A"/>
    <w:rsid w:val="00C208AD"/>
    <w:rsid w:val="00C21383"/>
    <w:rsid w:val="00C230C3"/>
    <w:rsid w:val="00C23E95"/>
    <w:rsid w:val="00C260ED"/>
    <w:rsid w:val="00C26F53"/>
    <w:rsid w:val="00C270EA"/>
    <w:rsid w:val="00C27B69"/>
    <w:rsid w:val="00C30551"/>
    <w:rsid w:val="00C3098B"/>
    <w:rsid w:val="00C312CF"/>
    <w:rsid w:val="00C328C1"/>
    <w:rsid w:val="00C32938"/>
    <w:rsid w:val="00C33352"/>
    <w:rsid w:val="00C33E8C"/>
    <w:rsid w:val="00C34525"/>
    <w:rsid w:val="00C35ED8"/>
    <w:rsid w:val="00C3620B"/>
    <w:rsid w:val="00C36AE4"/>
    <w:rsid w:val="00C372B5"/>
    <w:rsid w:val="00C379C2"/>
    <w:rsid w:val="00C37BF0"/>
    <w:rsid w:val="00C40BB2"/>
    <w:rsid w:val="00C40F6F"/>
    <w:rsid w:val="00C413F3"/>
    <w:rsid w:val="00C429D1"/>
    <w:rsid w:val="00C44497"/>
    <w:rsid w:val="00C44580"/>
    <w:rsid w:val="00C45690"/>
    <w:rsid w:val="00C46ECF"/>
    <w:rsid w:val="00C47B08"/>
    <w:rsid w:val="00C51DAA"/>
    <w:rsid w:val="00C528E3"/>
    <w:rsid w:val="00C52D45"/>
    <w:rsid w:val="00C53A1D"/>
    <w:rsid w:val="00C53E6A"/>
    <w:rsid w:val="00C54B8E"/>
    <w:rsid w:val="00C5512A"/>
    <w:rsid w:val="00C55D37"/>
    <w:rsid w:val="00C561D9"/>
    <w:rsid w:val="00C5733B"/>
    <w:rsid w:val="00C600E3"/>
    <w:rsid w:val="00C61283"/>
    <w:rsid w:val="00C61AF3"/>
    <w:rsid w:val="00C61DA6"/>
    <w:rsid w:val="00C6262C"/>
    <w:rsid w:val="00C645F2"/>
    <w:rsid w:val="00C6525C"/>
    <w:rsid w:val="00C6575B"/>
    <w:rsid w:val="00C669A2"/>
    <w:rsid w:val="00C66A06"/>
    <w:rsid w:val="00C66DD5"/>
    <w:rsid w:val="00C671F2"/>
    <w:rsid w:val="00C6723F"/>
    <w:rsid w:val="00C67B3B"/>
    <w:rsid w:val="00C71215"/>
    <w:rsid w:val="00C7151E"/>
    <w:rsid w:val="00C718A1"/>
    <w:rsid w:val="00C72295"/>
    <w:rsid w:val="00C74651"/>
    <w:rsid w:val="00C755C9"/>
    <w:rsid w:val="00C756F4"/>
    <w:rsid w:val="00C75848"/>
    <w:rsid w:val="00C771AB"/>
    <w:rsid w:val="00C77776"/>
    <w:rsid w:val="00C77792"/>
    <w:rsid w:val="00C77A60"/>
    <w:rsid w:val="00C81769"/>
    <w:rsid w:val="00C824B0"/>
    <w:rsid w:val="00C82791"/>
    <w:rsid w:val="00C85027"/>
    <w:rsid w:val="00C8612B"/>
    <w:rsid w:val="00C911A3"/>
    <w:rsid w:val="00C91C52"/>
    <w:rsid w:val="00C923B6"/>
    <w:rsid w:val="00C932AB"/>
    <w:rsid w:val="00C93A69"/>
    <w:rsid w:val="00C9546A"/>
    <w:rsid w:val="00C954E7"/>
    <w:rsid w:val="00C97109"/>
    <w:rsid w:val="00CA003F"/>
    <w:rsid w:val="00CA1B04"/>
    <w:rsid w:val="00CA2733"/>
    <w:rsid w:val="00CA4EF2"/>
    <w:rsid w:val="00CA699C"/>
    <w:rsid w:val="00CA6A31"/>
    <w:rsid w:val="00CA7142"/>
    <w:rsid w:val="00CB2DE3"/>
    <w:rsid w:val="00CB441B"/>
    <w:rsid w:val="00CB471C"/>
    <w:rsid w:val="00CB4B08"/>
    <w:rsid w:val="00CB510E"/>
    <w:rsid w:val="00CB6202"/>
    <w:rsid w:val="00CB73F4"/>
    <w:rsid w:val="00CB7FF8"/>
    <w:rsid w:val="00CC311D"/>
    <w:rsid w:val="00CC3647"/>
    <w:rsid w:val="00CC43DE"/>
    <w:rsid w:val="00CC50BF"/>
    <w:rsid w:val="00CC7316"/>
    <w:rsid w:val="00CC760E"/>
    <w:rsid w:val="00CC7A2C"/>
    <w:rsid w:val="00CC7B47"/>
    <w:rsid w:val="00CC7E85"/>
    <w:rsid w:val="00CD2079"/>
    <w:rsid w:val="00CD2605"/>
    <w:rsid w:val="00CD3BFB"/>
    <w:rsid w:val="00CD477B"/>
    <w:rsid w:val="00CD4EC7"/>
    <w:rsid w:val="00CD687F"/>
    <w:rsid w:val="00CD7D6B"/>
    <w:rsid w:val="00CE1B4E"/>
    <w:rsid w:val="00CE1B72"/>
    <w:rsid w:val="00CE1EDD"/>
    <w:rsid w:val="00CE228A"/>
    <w:rsid w:val="00CE2D82"/>
    <w:rsid w:val="00CE5880"/>
    <w:rsid w:val="00CE654A"/>
    <w:rsid w:val="00CE7433"/>
    <w:rsid w:val="00CF158E"/>
    <w:rsid w:val="00CF1A7F"/>
    <w:rsid w:val="00CF1B54"/>
    <w:rsid w:val="00CF338D"/>
    <w:rsid w:val="00CF49C0"/>
    <w:rsid w:val="00CF4A7D"/>
    <w:rsid w:val="00CF4BA0"/>
    <w:rsid w:val="00CF51B3"/>
    <w:rsid w:val="00CF52F3"/>
    <w:rsid w:val="00CF582C"/>
    <w:rsid w:val="00CF5CA7"/>
    <w:rsid w:val="00CF5F97"/>
    <w:rsid w:val="00CF6256"/>
    <w:rsid w:val="00CF78D3"/>
    <w:rsid w:val="00CF7C76"/>
    <w:rsid w:val="00CF7E95"/>
    <w:rsid w:val="00CF7F2F"/>
    <w:rsid w:val="00CF7F4C"/>
    <w:rsid w:val="00CF7F7A"/>
    <w:rsid w:val="00D00674"/>
    <w:rsid w:val="00D00F9C"/>
    <w:rsid w:val="00D012F1"/>
    <w:rsid w:val="00D018E0"/>
    <w:rsid w:val="00D01A43"/>
    <w:rsid w:val="00D01B57"/>
    <w:rsid w:val="00D029DA"/>
    <w:rsid w:val="00D03C60"/>
    <w:rsid w:val="00D05CE4"/>
    <w:rsid w:val="00D062AF"/>
    <w:rsid w:val="00D06490"/>
    <w:rsid w:val="00D06744"/>
    <w:rsid w:val="00D06FF7"/>
    <w:rsid w:val="00D106C0"/>
    <w:rsid w:val="00D12488"/>
    <w:rsid w:val="00D140D9"/>
    <w:rsid w:val="00D14950"/>
    <w:rsid w:val="00D14A57"/>
    <w:rsid w:val="00D1530E"/>
    <w:rsid w:val="00D15F99"/>
    <w:rsid w:val="00D175C6"/>
    <w:rsid w:val="00D17776"/>
    <w:rsid w:val="00D1781D"/>
    <w:rsid w:val="00D17A5D"/>
    <w:rsid w:val="00D20594"/>
    <w:rsid w:val="00D21319"/>
    <w:rsid w:val="00D21322"/>
    <w:rsid w:val="00D2186E"/>
    <w:rsid w:val="00D226F8"/>
    <w:rsid w:val="00D23945"/>
    <w:rsid w:val="00D23C55"/>
    <w:rsid w:val="00D245A1"/>
    <w:rsid w:val="00D25F0E"/>
    <w:rsid w:val="00D25F14"/>
    <w:rsid w:val="00D2611D"/>
    <w:rsid w:val="00D26EFC"/>
    <w:rsid w:val="00D27A83"/>
    <w:rsid w:val="00D300E6"/>
    <w:rsid w:val="00D30E1F"/>
    <w:rsid w:val="00D30EA9"/>
    <w:rsid w:val="00D312DD"/>
    <w:rsid w:val="00D31500"/>
    <w:rsid w:val="00D31980"/>
    <w:rsid w:val="00D31EA4"/>
    <w:rsid w:val="00D32CF5"/>
    <w:rsid w:val="00D3308E"/>
    <w:rsid w:val="00D3477A"/>
    <w:rsid w:val="00D3487D"/>
    <w:rsid w:val="00D34EF6"/>
    <w:rsid w:val="00D359D2"/>
    <w:rsid w:val="00D3676F"/>
    <w:rsid w:val="00D36E3E"/>
    <w:rsid w:val="00D3739F"/>
    <w:rsid w:val="00D37E87"/>
    <w:rsid w:val="00D4183D"/>
    <w:rsid w:val="00D41C3A"/>
    <w:rsid w:val="00D42730"/>
    <w:rsid w:val="00D43095"/>
    <w:rsid w:val="00D4313D"/>
    <w:rsid w:val="00D43803"/>
    <w:rsid w:val="00D43BE8"/>
    <w:rsid w:val="00D44ADA"/>
    <w:rsid w:val="00D4532D"/>
    <w:rsid w:val="00D45518"/>
    <w:rsid w:val="00D45C86"/>
    <w:rsid w:val="00D46C2D"/>
    <w:rsid w:val="00D47509"/>
    <w:rsid w:val="00D47840"/>
    <w:rsid w:val="00D5106F"/>
    <w:rsid w:val="00D51BEA"/>
    <w:rsid w:val="00D51D4A"/>
    <w:rsid w:val="00D52515"/>
    <w:rsid w:val="00D52705"/>
    <w:rsid w:val="00D53B4F"/>
    <w:rsid w:val="00D53FCD"/>
    <w:rsid w:val="00D54688"/>
    <w:rsid w:val="00D54D51"/>
    <w:rsid w:val="00D5503C"/>
    <w:rsid w:val="00D550F3"/>
    <w:rsid w:val="00D55221"/>
    <w:rsid w:val="00D55DD7"/>
    <w:rsid w:val="00D5622B"/>
    <w:rsid w:val="00D56736"/>
    <w:rsid w:val="00D56E7F"/>
    <w:rsid w:val="00D56FF7"/>
    <w:rsid w:val="00D60C5A"/>
    <w:rsid w:val="00D60EC2"/>
    <w:rsid w:val="00D614EC"/>
    <w:rsid w:val="00D61892"/>
    <w:rsid w:val="00D62199"/>
    <w:rsid w:val="00D6227C"/>
    <w:rsid w:val="00D639EA"/>
    <w:rsid w:val="00D63AAD"/>
    <w:rsid w:val="00D64E40"/>
    <w:rsid w:val="00D66284"/>
    <w:rsid w:val="00D66893"/>
    <w:rsid w:val="00D66ACF"/>
    <w:rsid w:val="00D66AEB"/>
    <w:rsid w:val="00D678D0"/>
    <w:rsid w:val="00D67C70"/>
    <w:rsid w:val="00D700D5"/>
    <w:rsid w:val="00D70279"/>
    <w:rsid w:val="00D709F7"/>
    <w:rsid w:val="00D70DA7"/>
    <w:rsid w:val="00D714A5"/>
    <w:rsid w:val="00D7279E"/>
    <w:rsid w:val="00D72E8F"/>
    <w:rsid w:val="00D73548"/>
    <w:rsid w:val="00D739F2"/>
    <w:rsid w:val="00D73EA7"/>
    <w:rsid w:val="00D7410E"/>
    <w:rsid w:val="00D7468D"/>
    <w:rsid w:val="00D75387"/>
    <w:rsid w:val="00D762DF"/>
    <w:rsid w:val="00D77774"/>
    <w:rsid w:val="00D77941"/>
    <w:rsid w:val="00D77B62"/>
    <w:rsid w:val="00D77B8F"/>
    <w:rsid w:val="00D80551"/>
    <w:rsid w:val="00D81343"/>
    <w:rsid w:val="00D81612"/>
    <w:rsid w:val="00D818D4"/>
    <w:rsid w:val="00D81D51"/>
    <w:rsid w:val="00D82F31"/>
    <w:rsid w:val="00D8323F"/>
    <w:rsid w:val="00D83C2C"/>
    <w:rsid w:val="00D8654D"/>
    <w:rsid w:val="00D86666"/>
    <w:rsid w:val="00D86FE9"/>
    <w:rsid w:val="00D87AAD"/>
    <w:rsid w:val="00D90B98"/>
    <w:rsid w:val="00D90F52"/>
    <w:rsid w:val="00D91777"/>
    <w:rsid w:val="00D91AE0"/>
    <w:rsid w:val="00D92402"/>
    <w:rsid w:val="00D9244F"/>
    <w:rsid w:val="00D92984"/>
    <w:rsid w:val="00D93948"/>
    <w:rsid w:val="00D93AA7"/>
    <w:rsid w:val="00D943D6"/>
    <w:rsid w:val="00D9479B"/>
    <w:rsid w:val="00D9529F"/>
    <w:rsid w:val="00D9549C"/>
    <w:rsid w:val="00D956F0"/>
    <w:rsid w:val="00D963BF"/>
    <w:rsid w:val="00DA0EC0"/>
    <w:rsid w:val="00DA1A54"/>
    <w:rsid w:val="00DA2122"/>
    <w:rsid w:val="00DA319B"/>
    <w:rsid w:val="00DA34E3"/>
    <w:rsid w:val="00DA3EC8"/>
    <w:rsid w:val="00DA72A3"/>
    <w:rsid w:val="00DB0DE8"/>
    <w:rsid w:val="00DB13E1"/>
    <w:rsid w:val="00DB5D3D"/>
    <w:rsid w:val="00DB5E62"/>
    <w:rsid w:val="00DC1202"/>
    <w:rsid w:val="00DC290A"/>
    <w:rsid w:val="00DC2A6C"/>
    <w:rsid w:val="00DC3F3B"/>
    <w:rsid w:val="00DC6E6F"/>
    <w:rsid w:val="00DD1A4A"/>
    <w:rsid w:val="00DD1C46"/>
    <w:rsid w:val="00DD1F8F"/>
    <w:rsid w:val="00DD3001"/>
    <w:rsid w:val="00DD52B1"/>
    <w:rsid w:val="00DD6602"/>
    <w:rsid w:val="00DE212A"/>
    <w:rsid w:val="00DE267B"/>
    <w:rsid w:val="00DE2818"/>
    <w:rsid w:val="00DE32B4"/>
    <w:rsid w:val="00DE361B"/>
    <w:rsid w:val="00DE376A"/>
    <w:rsid w:val="00DE3D1D"/>
    <w:rsid w:val="00DE5146"/>
    <w:rsid w:val="00DE64C4"/>
    <w:rsid w:val="00DE703B"/>
    <w:rsid w:val="00DF02F2"/>
    <w:rsid w:val="00DF2612"/>
    <w:rsid w:val="00DF2EB7"/>
    <w:rsid w:val="00DF32FA"/>
    <w:rsid w:val="00DF3355"/>
    <w:rsid w:val="00DF385E"/>
    <w:rsid w:val="00DF39FB"/>
    <w:rsid w:val="00DF4AC5"/>
    <w:rsid w:val="00DF50CC"/>
    <w:rsid w:val="00DF7787"/>
    <w:rsid w:val="00E012E6"/>
    <w:rsid w:val="00E01736"/>
    <w:rsid w:val="00E0406B"/>
    <w:rsid w:val="00E049E7"/>
    <w:rsid w:val="00E05038"/>
    <w:rsid w:val="00E052A6"/>
    <w:rsid w:val="00E06119"/>
    <w:rsid w:val="00E068CD"/>
    <w:rsid w:val="00E06A32"/>
    <w:rsid w:val="00E07D5A"/>
    <w:rsid w:val="00E107ED"/>
    <w:rsid w:val="00E1150D"/>
    <w:rsid w:val="00E11596"/>
    <w:rsid w:val="00E11CB6"/>
    <w:rsid w:val="00E11DA4"/>
    <w:rsid w:val="00E12456"/>
    <w:rsid w:val="00E12DE3"/>
    <w:rsid w:val="00E13D1C"/>
    <w:rsid w:val="00E15863"/>
    <w:rsid w:val="00E159FC"/>
    <w:rsid w:val="00E164FE"/>
    <w:rsid w:val="00E17B74"/>
    <w:rsid w:val="00E20CC0"/>
    <w:rsid w:val="00E227DB"/>
    <w:rsid w:val="00E22AEF"/>
    <w:rsid w:val="00E24520"/>
    <w:rsid w:val="00E26CC4"/>
    <w:rsid w:val="00E2740F"/>
    <w:rsid w:val="00E277F9"/>
    <w:rsid w:val="00E304D8"/>
    <w:rsid w:val="00E3063E"/>
    <w:rsid w:val="00E3075A"/>
    <w:rsid w:val="00E32717"/>
    <w:rsid w:val="00E32BA5"/>
    <w:rsid w:val="00E33832"/>
    <w:rsid w:val="00E3521D"/>
    <w:rsid w:val="00E35D59"/>
    <w:rsid w:val="00E40895"/>
    <w:rsid w:val="00E41A08"/>
    <w:rsid w:val="00E42F89"/>
    <w:rsid w:val="00E4320F"/>
    <w:rsid w:val="00E433F5"/>
    <w:rsid w:val="00E4380A"/>
    <w:rsid w:val="00E442D9"/>
    <w:rsid w:val="00E4559F"/>
    <w:rsid w:val="00E456F5"/>
    <w:rsid w:val="00E460DA"/>
    <w:rsid w:val="00E46295"/>
    <w:rsid w:val="00E47EED"/>
    <w:rsid w:val="00E5049E"/>
    <w:rsid w:val="00E515C7"/>
    <w:rsid w:val="00E53CF4"/>
    <w:rsid w:val="00E53EF8"/>
    <w:rsid w:val="00E54779"/>
    <w:rsid w:val="00E54FB7"/>
    <w:rsid w:val="00E56312"/>
    <w:rsid w:val="00E56B92"/>
    <w:rsid w:val="00E56E28"/>
    <w:rsid w:val="00E60391"/>
    <w:rsid w:val="00E60806"/>
    <w:rsid w:val="00E6323B"/>
    <w:rsid w:val="00E64DEC"/>
    <w:rsid w:val="00E65288"/>
    <w:rsid w:val="00E66BD9"/>
    <w:rsid w:val="00E67593"/>
    <w:rsid w:val="00E6793A"/>
    <w:rsid w:val="00E70549"/>
    <w:rsid w:val="00E71187"/>
    <w:rsid w:val="00E716DD"/>
    <w:rsid w:val="00E71D2C"/>
    <w:rsid w:val="00E72AD1"/>
    <w:rsid w:val="00E735E6"/>
    <w:rsid w:val="00E744C7"/>
    <w:rsid w:val="00E75836"/>
    <w:rsid w:val="00E76815"/>
    <w:rsid w:val="00E76DD8"/>
    <w:rsid w:val="00E80E34"/>
    <w:rsid w:val="00E81A95"/>
    <w:rsid w:val="00E81AC8"/>
    <w:rsid w:val="00E81BE8"/>
    <w:rsid w:val="00E83A34"/>
    <w:rsid w:val="00E83D63"/>
    <w:rsid w:val="00E84CBC"/>
    <w:rsid w:val="00E8529A"/>
    <w:rsid w:val="00E856ED"/>
    <w:rsid w:val="00E85CCA"/>
    <w:rsid w:val="00E8686C"/>
    <w:rsid w:val="00E90836"/>
    <w:rsid w:val="00E90C17"/>
    <w:rsid w:val="00E91787"/>
    <w:rsid w:val="00E91994"/>
    <w:rsid w:val="00E91B53"/>
    <w:rsid w:val="00E91E0E"/>
    <w:rsid w:val="00E949C1"/>
    <w:rsid w:val="00E94A80"/>
    <w:rsid w:val="00E95BB4"/>
    <w:rsid w:val="00E95C55"/>
    <w:rsid w:val="00E95D8A"/>
    <w:rsid w:val="00E97FF4"/>
    <w:rsid w:val="00EA03BA"/>
    <w:rsid w:val="00EA2709"/>
    <w:rsid w:val="00EA2E1A"/>
    <w:rsid w:val="00EA3157"/>
    <w:rsid w:val="00EA48C6"/>
    <w:rsid w:val="00EA5CEC"/>
    <w:rsid w:val="00EA608D"/>
    <w:rsid w:val="00EA6146"/>
    <w:rsid w:val="00EA7AD2"/>
    <w:rsid w:val="00EA7F0C"/>
    <w:rsid w:val="00EB030A"/>
    <w:rsid w:val="00EB0424"/>
    <w:rsid w:val="00EB070C"/>
    <w:rsid w:val="00EB164A"/>
    <w:rsid w:val="00EB1B16"/>
    <w:rsid w:val="00EB229B"/>
    <w:rsid w:val="00EB2FF4"/>
    <w:rsid w:val="00EB31E9"/>
    <w:rsid w:val="00EB3F3E"/>
    <w:rsid w:val="00EB4DED"/>
    <w:rsid w:val="00EB5ED1"/>
    <w:rsid w:val="00EB6051"/>
    <w:rsid w:val="00EB65B6"/>
    <w:rsid w:val="00EB69CD"/>
    <w:rsid w:val="00EC07A9"/>
    <w:rsid w:val="00EC0A0E"/>
    <w:rsid w:val="00EC2A4E"/>
    <w:rsid w:val="00EC42CC"/>
    <w:rsid w:val="00EC42E9"/>
    <w:rsid w:val="00EC46CB"/>
    <w:rsid w:val="00EC5A3D"/>
    <w:rsid w:val="00EC66FE"/>
    <w:rsid w:val="00EC6AAE"/>
    <w:rsid w:val="00EC706B"/>
    <w:rsid w:val="00EC78D4"/>
    <w:rsid w:val="00ED0031"/>
    <w:rsid w:val="00ED1011"/>
    <w:rsid w:val="00ED1418"/>
    <w:rsid w:val="00ED19DB"/>
    <w:rsid w:val="00ED29E1"/>
    <w:rsid w:val="00ED507A"/>
    <w:rsid w:val="00ED52C3"/>
    <w:rsid w:val="00ED6676"/>
    <w:rsid w:val="00ED6747"/>
    <w:rsid w:val="00ED702E"/>
    <w:rsid w:val="00ED7A58"/>
    <w:rsid w:val="00EE00F4"/>
    <w:rsid w:val="00EE11BE"/>
    <w:rsid w:val="00EE13BE"/>
    <w:rsid w:val="00EE1C4D"/>
    <w:rsid w:val="00EE2103"/>
    <w:rsid w:val="00EE2A58"/>
    <w:rsid w:val="00EE3ADF"/>
    <w:rsid w:val="00EE3EB3"/>
    <w:rsid w:val="00EE44A2"/>
    <w:rsid w:val="00EE4558"/>
    <w:rsid w:val="00EE490B"/>
    <w:rsid w:val="00EE534F"/>
    <w:rsid w:val="00EE57CB"/>
    <w:rsid w:val="00EE62DC"/>
    <w:rsid w:val="00EF040C"/>
    <w:rsid w:val="00EF0779"/>
    <w:rsid w:val="00EF0AA3"/>
    <w:rsid w:val="00EF1114"/>
    <w:rsid w:val="00EF2957"/>
    <w:rsid w:val="00EF4597"/>
    <w:rsid w:val="00EF5501"/>
    <w:rsid w:val="00EF56E7"/>
    <w:rsid w:val="00EF5D27"/>
    <w:rsid w:val="00EF5EAD"/>
    <w:rsid w:val="00EF64DB"/>
    <w:rsid w:val="00EF650A"/>
    <w:rsid w:val="00F000F0"/>
    <w:rsid w:val="00F0248A"/>
    <w:rsid w:val="00F03236"/>
    <w:rsid w:val="00F03AB0"/>
    <w:rsid w:val="00F042C9"/>
    <w:rsid w:val="00F04E4D"/>
    <w:rsid w:val="00F05A60"/>
    <w:rsid w:val="00F069A7"/>
    <w:rsid w:val="00F06AF7"/>
    <w:rsid w:val="00F101A8"/>
    <w:rsid w:val="00F1068B"/>
    <w:rsid w:val="00F120ED"/>
    <w:rsid w:val="00F15BAC"/>
    <w:rsid w:val="00F16BDA"/>
    <w:rsid w:val="00F16C7A"/>
    <w:rsid w:val="00F16E73"/>
    <w:rsid w:val="00F20B33"/>
    <w:rsid w:val="00F211A2"/>
    <w:rsid w:val="00F213F7"/>
    <w:rsid w:val="00F2173E"/>
    <w:rsid w:val="00F22398"/>
    <w:rsid w:val="00F223C1"/>
    <w:rsid w:val="00F22460"/>
    <w:rsid w:val="00F2270B"/>
    <w:rsid w:val="00F22D55"/>
    <w:rsid w:val="00F259F0"/>
    <w:rsid w:val="00F2744C"/>
    <w:rsid w:val="00F27C69"/>
    <w:rsid w:val="00F301D2"/>
    <w:rsid w:val="00F303B9"/>
    <w:rsid w:val="00F320FC"/>
    <w:rsid w:val="00F32700"/>
    <w:rsid w:val="00F33045"/>
    <w:rsid w:val="00F344E2"/>
    <w:rsid w:val="00F3474A"/>
    <w:rsid w:val="00F359E0"/>
    <w:rsid w:val="00F40E10"/>
    <w:rsid w:val="00F41304"/>
    <w:rsid w:val="00F4137D"/>
    <w:rsid w:val="00F41416"/>
    <w:rsid w:val="00F42848"/>
    <w:rsid w:val="00F42E45"/>
    <w:rsid w:val="00F44BF8"/>
    <w:rsid w:val="00F453BB"/>
    <w:rsid w:val="00F47060"/>
    <w:rsid w:val="00F4759B"/>
    <w:rsid w:val="00F4796B"/>
    <w:rsid w:val="00F50892"/>
    <w:rsid w:val="00F50DBF"/>
    <w:rsid w:val="00F50EFF"/>
    <w:rsid w:val="00F5190C"/>
    <w:rsid w:val="00F5214D"/>
    <w:rsid w:val="00F5215C"/>
    <w:rsid w:val="00F5427A"/>
    <w:rsid w:val="00F54BB3"/>
    <w:rsid w:val="00F56874"/>
    <w:rsid w:val="00F569C6"/>
    <w:rsid w:val="00F612CA"/>
    <w:rsid w:val="00F6165C"/>
    <w:rsid w:val="00F61B21"/>
    <w:rsid w:val="00F62963"/>
    <w:rsid w:val="00F636ED"/>
    <w:rsid w:val="00F63D80"/>
    <w:rsid w:val="00F643EB"/>
    <w:rsid w:val="00F64885"/>
    <w:rsid w:val="00F652B2"/>
    <w:rsid w:val="00F65584"/>
    <w:rsid w:val="00F655BE"/>
    <w:rsid w:val="00F66F1C"/>
    <w:rsid w:val="00F673B1"/>
    <w:rsid w:val="00F713C0"/>
    <w:rsid w:val="00F74820"/>
    <w:rsid w:val="00F759B2"/>
    <w:rsid w:val="00F761CC"/>
    <w:rsid w:val="00F76AC5"/>
    <w:rsid w:val="00F76E04"/>
    <w:rsid w:val="00F76E3C"/>
    <w:rsid w:val="00F770ED"/>
    <w:rsid w:val="00F80261"/>
    <w:rsid w:val="00F80EA3"/>
    <w:rsid w:val="00F80EC4"/>
    <w:rsid w:val="00F824C9"/>
    <w:rsid w:val="00F826E5"/>
    <w:rsid w:val="00F83730"/>
    <w:rsid w:val="00F84478"/>
    <w:rsid w:val="00F84CA2"/>
    <w:rsid w:val="00F8580A"/>
    <w:rsid w:val="00F85B3B"/>
    <w:rsid w:val="00F86382"/>
    <w:rsid w:val="00F864A0"/>
    <w:rsid w:val="00F86F11"/>
    <w:rsid w:val="00F9065D"/>
    <w:rsid w:val="00F90B1B"/>
    <w:rsid w:val="00F93FC8"/>
    <w:rsid w:val="00F95340"/>
    <w:rsid w:val="00F96330"/>
    <w:rsid w:val="00F96696"/>
    <w:rsid w:val="00F96841"/>
    <w:rsid w:val="00F96FD0"/>
    <w:rsid w:val="00FA0706"/>
    <w:rsid w:val="00FA1C54"/>
    <w:rsid w:val="00FA26DF"/>
    <w:rsid w:val="00FA2DFE"/>
    <w:rsid w:val="00FA37E2"/>
    <w:rsid w:val="00FA481A"/>
    <w:rsid w:val="00FA5E13"/>
    <w:rsid w:val="00FB0264"/>
    <w:rsid w:val="00FB050B"/>
    <w:rsid w:val="00FB12B5"/>
    <w:rsid w:val="00FB17FE"/>
    <w:rsid w:val="00FB19AD"/>
    <w:rsid w:val="00FB219C"/>
    <w:rsid w:val="00FB4FA0"/>
    <w:rsid w:val="00FB50EF"/>
    <w:rsid w:val="00FB7D06"/>
    <w:rsid w:val="00FC064D"/>
    <w:rsid w:val="00FC3A8F"/>
    <w:rsid w:val="00FC402E"/>
    <w:rsid w:val="00FC4AD5"/>
    <w:rsid w:val="00FC4BF0"/>
    <w:rsid w:val="00FC5078"/>
    <w:rsid w:val="00FC5C7F"/>
    <w:rsid w:val="00FC707A"/>
    <w:rsid w:val="00FC76B9"/>
    <w:rsid w:val="00FD1435"/>
    <w:rsid w:val="00FD1A63"/>
    <w:rsid w:val="00FD3097"/>
    <w:rsid w:val="00FD5FDF"/>
    <w:rsid w:val="00FE07CB"/>
    <w:rsid w:val="00FE08E3"/>
    <w:rsid w:val="00FE09FD"/>
    <w:rsid w:val="00FE0EDA"/>
    <w:rsid w:val="00FE271C"/>
    <w:rsid w:val="00FE2A5C"/>
    <w:rsid w:val="00FE4FB5"/>
    <w:rsid w:val="00FE5C76"/>
    <w:rsid w:val="00FE6C83"/>
    <w:rsid w:val="00FE71B2"/>
    <w:rsid w:val="00FF1F90"/>
    <w:rsid w:val="00FF215B"/>
    <w:rsid w:val="00FF2C47"/>
    <w:rsid w:val="00FF3117"/>
    <w:rsid w:val="00FF46C4"/>
    <w:rsid w:val="00FF4A50"/>
    <w:rsid w:val="00FF59EB"/>
    <w:rsid w:val="00FF5EE6"/>
    <w:rsid w:val="00FF734C"/>
    <w:rsid w:val="00FF7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List 3"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68"/>
    <w:rPr>
      <w:rFonts w:ascii="Times New Roman" w:eastAsia="Times New Roman" w:hAnsi="Times New Roman"/>
      <w:sz w:val="28"/>
      <w:szCs w:val="28"/>
    </w:rPr>
  </w:style>
  <w:style w:type="paragraph" w:styleId="Heading1">
    <w:name w:val="heading 1"/>
    <w:basedOn w:val="Normal"/>
    <w:next w:val="Normal"/>
    <w:link w:val="Heading1Char"/>
    <w:qFormat/>
    <w:locked/>
    <w:rsid w:val="00D5622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468"/>
    <w:pPr>
      <w:autoSpaceDE w:val="0"/>
      <w:autoSpaceDN w:val="0"/>
      <w:adjustRightInd w:val="0"/>
    </w:pPr>
    <w:rPr>
      <w:rFonts w:ascii="Times New Roman" w:eastAsia="Times New Roman" w:hAnsi="Times New Roman"/>
      <w:color w:val="000000"/>
      <w:sz w:val="24"/>
      <w:szCs w:val="24"/>
    </w:rPr>
  </w:style>
  <w:style w:type="paragraph" w:customStyle="1" w:styleId="normal0">
    <w:name w:val="normal"/>
    <w:basedOn w:val="Normal"/>
    <w:rsid w:val="0067242E"/>
    <w:pPr>
      <w:spacing w:before="100" w:beforeAutospacing="1" w:after="100" w:afterAutospacing="1"/>
    </w:pPr>
    <w:rPr>
      <w:sz w:val="24"/>
      <w:szCs w:val="24"/>
    </w:rPr>
  </w:style>
  <w:style w:type="character" w:customStyle="1" w:styleId="BodyTextChar1">
    <w:name w:val="Body Text Char1"/>
    <w:basedOn w:val="DefaultParagraphFont"/>
    <w:link w:val="BodyText"/>
    <w:uiPriority w:val="99"/>
    <w:locked/>
    <w:rsid w:val="008D4094"/>
    <w:rPr>
      <w:sz w:val="24"/>
      <w:szCs w:val="24"/>
    </w:rPr>
  </w:style>
  <w:style w:type="paragraph" w:styleId="BodyText">
    <w:name w:val="Body Text"/>
    <w:basedOn w:val="Normal"/>
    <w:link w:val="BodyTextChar1"/>
    <w:uiPriority w:val="99"/>
    <w:rsid w:val="008D4094"/>
    <w:pPr>
      <w:spacing w:after="120"/>
    </w:pPr>
    <w:rPr>
      <w:rFonts w:ascii="Calibri" w:eastAsia="Calibri" w:hAnsi="Calibri" w:cs="Calibri"/>
      <w:sz w:val="24"/>
      <w:szCs w:val="24"/>
    </w:rPr>
  </w:style>
  <w:style w:type="character" w:customStyle="1" w:styleId="BodyTextChar">
    <w:name w:val="Body Text Char"/>
    <w:basedOn w:val="DefaultParagraphFont"/>
    <w:link w:val="BodyText"/>
    <w:uiPriority w:val="99"/>
    <w:semiHidden/>
    <w:locked/>
    <w:rsid w:val="008D4094"/>
    <w:rPr>
      <w:rFonts w:ascii="Times New Roman" w:hAnsi="Times New Roman" w:cs="Times New Roman"/>
      <w:sz w:val="28"/>
      <w:szCs w:val="28"/>
    </w:rPr>
  </w:style>
  <w:style w:type="character" w:styleId="Strong">
    <w:name w:val="Strong"/>
    <w:basedOn w:val="DefaultParagraphFont"/>
    <w:uiPriority w:val="99"/>
    <w:qFormat/>
    <w:rsid w:val="00A021F9"/>
    <w:rPr>
      <w:b/>
      <w:bCs/>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
    <w:basedOn w:val="Normal"/>
    <w:link w:val="FootnoteTextChar"/>
    <w:uiPriority w:val="99"/>
    <w:qFormat/>
    <w:rsid w:val="001A07A9"/>
    <w:rPr>
      <w:rFonts w:eastAsia="Calibri"/>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locked/>
    <w:rsid w:val="001A07A9"/>
    <w:rPr>
      <w:rFonts w:ascii="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basedOn w:val="DefaultParagraphFont"/>
    <w:uiPriority w:val="99"/>
    <w:qFormat/>
    <w:rsid w:val="001A07A9"/>
    <w:rPr>
      <w:vertAlign w:val="superscript"/>
    </w:rPr>
  </w:style>
  <w:style w:type="paragraph" w:styleId="NormalWeb">
    <w:name w:val="Normal (Web)"/>
    <w:basedOn w:val="Normal"/>
    <w:link w:val="NormalWebChar"/>
    <w:uiPriority w:val="99"/>
    <w:rsid w:val="00B90BF6"/>
    <w:pPr>
      <w:spacing w:before="100" w:beforeAutospacing="1" w:after="100" w:afterAutospacing="1"/>
    </w:pPr>
    <w:rPr>
      <w:rFonts w:eastAsia="Calibri"/>
      <w:sz w:val="24"/>
      <w:szCs w:val="24"/>
    </w:rPr>
  </w:style>
  <w:style w:type="character" w:customStyle="1" w:styleId="normalchar">
    <w:name w:val="normal__char"/>
    <w:basedOn w:val="DefaultParagraphFont"/>
    <w:rsid w:val="00B90BF6"/>
  </w:style>
  <w:style w:type="paragraph" w:styleId="Header">
    <w:name w:val="header"/>
    <w:basedOn w:val="Normal"/>
    <w:link w:val="HeaderChar"/>
    <w:uiPriority w:val="99"/>
    <w:rsid w:val="0016207C"/>
    <w:pPr>
      <w:tabs>
        <w:tab w:val="center" w:pos="4680"/>
        <w:tab w:val="right" w:pos="9360"/>
      </w:tabs>
    </w:pPr>
  </w:style>
  <w:style w:type="character" w:customStyle="1" w:styleId="HeaderChar">
    <w:name w:val="Header Char"/>
    <w:basedOn w:val="DefaultParagraphFont"/>
    <w:link w:val="Header"/>
    <w:uiPriority w:val="99"/>
    <w:locked/>
    <w:rsid w:val="0016207C"/>
    <w:rPr>
      <w:rFonts w:ascii="Times New Roman" w:hAnsi="Times New Roman" w:cs="Times New Roman"/>
      <w:sz w:val="28"/>
      <w:szCs w:val="28"/>
    </w:rPr>
  </w:style>
  <w:style w:type="paragraph" w:styleId="Footer">
    <w:name w:val="footer"/>
    <w:basedOn w:val="Normal"/>
    <w:link w:val="FooterChar"/>
    <w:uiPriority w:val="99"/>
    <w:semiHidden/>
    <w:rsid w:val="0016207C"/>
    <w:pPr>
      <w:tabs>
        <w:tab w:val="center" w:pos="4680"/>
        <w:tab w:val="right" w:pos="9360"/>
      </w:tabs>
    </w:pPr>
  </w:style>
  <w:style w:type="character" w:customStyle="1" w:styleId="FooterChar">
    <w:name w:val="Footer Char"/>
    <w:basedOn w:val="DefaultParagraphFont"/>
    <w:link w:val="Footer"/>
    <w:uiPriority w:val="99"/>
    <w:semiHidden/>
    <w:locked/>
    <w:rsid w:val="0016207C"/>
    <w:rPr>
      <w:rFonts w:ascii="Times New Roman" w:hAnsi="Times New Roman" w:cs="Times New Roman"/>
      <w:sz w:val="28"/>
      <w:szCs w:val="28"/>
    </w:rPr>
  </w:style>
  <w:style w:type="paragraph" w:customStyle="1" w:styleId="BodyTextTimesNewRoman">
    <w:name w:val="Body Text + Times New Roman"/>
    <w:aliases w:val="14 pt,Bold,First line:  1,27 cm,Before:  4,5 ...,5 ... ...,Normal + Justified,First line:  0,99 cm,Right:  0,2 cm,Before:  2 pt,Afte...,Normal + Times New Roman,Justified,First line:  1 cm,..."/>
    <w:basedOn w:val="Normal"/>
    <w:link w:val="BodyTextTimesNewRomanChar"/>
    <w:uiPriority w:val="99"/>
    <w:rsid w:val="00CA6A31"/>
    <w:pPr>
      <w:spacing w:before="90" w:after="90" w:line="300" w:lineRule="exact"/>
      <w:ind w:firstLine="720"/>
      <w:jc w:val="both"/>
    </w:pPr>
    <w:rPr>
      <w:b/>
      <w:bCs/>
      <w:lang w:val="nl-NL"/>
    </w:rPr>
  </w:style>
  <w:style w:type="character" w:customStyle="1" w:styleId="BodyTextTimesNewRomanChar">
    <w:name w:val="Body Text + Times New Roman Char"/>
    <w:aliases w:val="14 pt Char,Bold Char,First line:  1 Char,27 cm Char,Before:  4 Char,5 ... Char,5 ... ... Char"/>
    <w:basedOn w:val="BodyTextChar"/>
    <w:link w:val="BodyTextTimesNewRoman"/>
    <w:uiPriority w:val="99"/>
    <w:locked/>
    <w:rsid w:val="00CA6A31"/>
    <w:rPr>
      <w:b/>
      <w:bCs/>
      <w:lang w:val="nl-NL"/>
    </w:rPr>
  </w:style>
  <w:style w:type="paragraph" w:styleId="BalloonText">
    <w:name w:val="Balloon Text"/>
    <w:basedOn w:val="Normal"/>
    <w:link w:val="BalloonTextChar"/>
    <w:uiPriority w:val="99"/>
    <w:semiHidden/>
    <w:rsid w:val="006A70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F6C"/>
    <w:rPr>
      <w:rFonts w:ascii="Times New Roman" w:hAnsi="Times New Roman" w:cs="Times New Roman"/>
      <w:sz w:val="2"/>
      <w:szCs w:val="2"/>
    </w:rPr>
  </w:style>
  <w:style w:type="paragraph" w:styleId="ListParagraph">
    <w:name w:val="List Paragraph"/>
    <w:basedOn w:val="Normal"/>
    <w:uiPriority w:val="34"/>
    <w:qFormat/>
    <w:rsid w:val="000F6092"/>
    <w:pPr>
      <w:spacing w:after="200" w:line="276" w:lineRule="auto"/>
      <w:ind w:left="720"/>
      <w:contextualSpacing/>
    </w:pPr>
    <w:rPr>
      <w:rFonts w:eastAsia="Calibri"/>
    </w:rPr>
  </w:style>
  <w:style w:type="character" w:customStyle="1" w:styleId="normalchar0">
    <w:name w:val="normalchar"/>
    <w:basedOn w:val="DefaultParagraphFont"/>
    <w:rsid w:val="00B223A3"/>
  </w:style>
  <w:style w:type="character" w:customStyle="1" w:styleId="apple-converted-space">
    <w:name w:val="apple-converted-space"/>
    <w:basedOn w:val="DefaultParagraphFont"/>
    <w:rsid w:val="00C771AB"/>
  </w:style>
  <w:style w:type="paragraph" w:styleId="Title">
    <w:name w:val="Title"/>
    <w:basedOn w:val="Normal"/>
    <w:link w:val="TitleChar"/>
    <w:qFormat/>
    <w:locked/>
    <w:rsid w:val="0085217C"/>
    <w:pPr>
      <w:jc w:val="center"/>
    </w:pPr>
    <w:rPr>
      <w:rFonts w:ascii=".VnTimeH" w:hAnsi=".VnTimeH"/>
      <w:b/>
      <w:bCs/>
      <w:szCs w:val="24"/>
    </w:rPr>
  </w:style>
  <w:style w:type="character" w:customStyle="1" w:styleId="TitleChar">
    <w:name w:val="Title Char"/>
    <w:basedOn w:val="DefaultParagraphFont"/>
    <w:link w:val="Title"/>
    <w:rsid w:val="0085217C"/>
    <w:rPr>
      <w:rFonts w:ascii=".VnTimeH" w:eastAsia="Times New Roman" w:hAnsi=".VnTimeH"/>
      <w:b/>
      <w:bCs/>
      <w:sz w:val="28"/>
      <w:szCs w:val="24"/>
    </w:rPr>
  </w:style>
  <w:style w:type="paragraph" w:customStyle="1" w:styleId="msotitlecxspmiddle">
    <w:name w:val="msotitlecxspmiddle"/>
    <w:basedOn w:val="Normal"/>
    <w:rsid w:val="0085217C"/>
    <w:pPr>
      <w:spacing w:before="100" w:beforeAutospacing="1" w:after="100" w:afterAutospacing="1"/>
    </w:pPr>
    <w:rPr>
      <w:sz w:val="24"/>
      <w:szCs w:val="24"/>
    </w:rPr>
  </w:style>
  <w:style w:type="paragraph" w:customStyle="1" w:styleId="Normal1">
    <w:name w:val="Normal1"/>
    <w:basedOn w:val="Normal"/>
    <w:uiPriority w:val="99"/>
    <w:rsid w:val="000E6961"/>
    <w:pPr>
      <w:spacing w:before="100" w:beforeAutospacing="1" w:after="100" w:afterAutospacing="1"/>
    </w:pPr>
    <w:rPr>
      <w:rFonts w:ascii="Calibri" w:hAnsi="Calibri" w:cs="Calibri"/>
      <w:sz w:val="24"/>
      <w:szCs w:val="24"/>
    </w:rPr>
  </w:style>
  <w:style w:type="paragraph" w:styleId="List3">
    <w:name w:val="List 3"/>
    <w:basedOn w:val="Normal"/>
    <w:rsid w:val="00EC42CC"/>
    <w:pPr>
      <w:spacing w:before="100" w:beforeAutospacing="1" w:after="100" w:afterAutospacing="1"/>
    </w:pPr>
    <w:rPr>
      <w:rFonts w:eastAsia="MS Mincho"/>
      <w:sz w:val="24"/>
      <w:szCs w:val="24"/>
    </w:rPr>
  </w:style>
  <w:style w:type="paragraph" w:styleId="BodyTextIndent">
    <w:name w:val="Body Text Indent"/>
    <w:basedOn w:val="Normal"/>
    <w:link w:val="BodyTextIndentChar"/>
    <w:uiPriority w:val="99"/>
    <w:semiHidden/>
    <w:unhideWhenUsed/>
    <w:rsid w:val="005B43D0"/>
    <w:pPr>
      <w:spacing w:after="120"/>
      <w:ind w:left="360"/>
    </w:pPr>
  </w:style>
  <w:style w:type="character" w:customStyle="1" w:styleId="BodyTextIndentChar">
    <w:name w:val="Body Text Indent Char"/>
    <w:basedOn w:val="DefaultParagraphFont"/>
    <w:link w:val="BodyTextIndent"/>
    <w:uiPriority w:val="99"/>
    <w:semiHidden/>
    <w:rsid w:val="005B43D0"/>
    <w:rPr>
      <w:rFonts w:ascii="Times New Roman" w:eastAsia="Times New Roman" w:hAnsi="Times New Roman"/>
      <w:sz w:val="28"/>
      <w:szCs w:val="28"/>
    </w:rPr>
  </w:style>
  <w:style w:type="paragraph" w:styleId="BodyTextIndent2">
    <w:name w:val="Body Text Indent 2"/>
    <w:basedOn w:val="Normal"/>
    <w:link w:val="BodyTextIndent2Char"/>
    <w:uiPriority w:val="99"/>
    <w:semiHidden/>
    <w:unhideWhenUsed/>
    <w:rsid w:val="00BB4A9E"/>
    <w:pPr>
      <w:spacing w:after="120" w:line="480" w:lineRule="auto"/>
      <w:ind w:left="360"/>
    </w:pPr>
  </w:style>
  <w:style w:type="character" w:customStyle="1" w:styleId="BodyTextIndent2Char">
    <w:name w:val="Body Text Indent 2 Char"/>
    <w:basedOn w:val="DefaultParagraphFont"/>
    <w:link w:val="BodyTextIndent2"/>
    <w:uiPriority w:val="99"/>
    <w:semiHidden/>
    <w:rsid w:val="00BB4A9E"/>
    <w:rPr>
      <w:rFonts w:ascii="Times New Roman" w:eastAsia="Times New Roman" w:hAnsi="Times New Roman"/>
      <w:sz w:val="28"/>
      <w:szCs w:val="28"/>
    </w:rPr>
  </w:style>
  <w:style w:type="character" w:styleId="Emphasis">
    <w:name w:val="Emphasis"/>
    <w:basedOn w:val="DefaultParagraphFont"/>
    <w:uiPriority w:val="20"/>
    <w:qFormat/>
    <w:locked/>
    <w:rsid w:val="00C372B5"/>
    <w:rPr>
      <w:i/>
      <w:iCs/>
    </w:rPr>
  </w:style>
  <w:style w:type="character" w:customStyle="1" w:styleId="body0020textchar">
    <w:name w:val="body_0020text__char"/>
    <w:basedOn w:val="DefaultParagraphFont"/>
    <w:rsid w:val="006379FB"/>
    <w:rPr>
      <w:rFonts w:cs="Times New Roman"/>
    </w:rPr>
  </w:style>
  <w:style w:type="paragraph" w:styleId="EndnoteText">
    <w:name w:val="endnote text"/>
    <w:basedOn w:val="Normal"/>
    <w:link w:val="EndnoteTextChar"/>
    <w:uiPriority w:val="99"/>
    <w:semiHidden/>
    <w:unhideWhenUsed/>
    <w:rsid w:val="00416BAE"/>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416BAE"/>
    <w:rPr>
      <w:rFonts w:ascii="Calibri" w:eastAsia="Calibri" w:hAnsi="Calibri" w:cs="Times New Roman"/>
    </w:rPr>
  </w:style>
  <w:style w:type="character" w:styleId="EndnoteReference">
    <w:name w:val="endnote reference"/>
    <w:basedOn w:val="DefaultParagraphFont"/>
    <w:uiPriority w:val="99"/>
    <w:semiHidden/>
    <w:unhideWhenUsed/>
    <w:rsid w:val="00416BAE"/>
    <w:rPr>
      <w:vertAlign w:val="superscript"/>
    </w:rPr>
  </w:style>
  <w:style w:type="character" w:customStyle="1" w:styleId="Heading1Char">
    <w:name w:val="Heading 1 Char"/>
    <w:basedOn w:val="DefaultParagraphFont"/>
    <w:link w:val="Heading1"/>
    <w:rsid w:val="00D5622B"/>
    <w:rPr>
      <w:rFonts w:ascii="Cambria" w:eastAsia="Times New Roman" w:hAnsi="Cambria" w:cs="Times New Roman"/>
      <w:b/>
      <w:bCs/>
      <w:kern w:val="32"/>
      <w:sz w:val="32"/>
      <w:szCs w:val="32"/>
    </w:rPr>
  </w:style>
  <w:style w:type="character" w:customStyle="1" w:styleId="apple-style-span">
    <w:name w:val="apple-style-span"/>
    <w:basedOn w:val="DefaultParagraphFont"/>
    <w:rsid w:val="001B34BB"/>
  </w:style>
  <w:style w:type="paragraph" w:styleId="BodyTextIndent3">
    <w:name w:val="Body Text Indent 3"/>
    <w:basedOn w:val="Normal"/>
    <w:link w:val="BodyTextIndent3Char"/>
    <w:uiPriority w:val="99"/>
    <w:semiHidden/>
    <w:unhideWhenUsed/>
    <w:rsid w:val="000B25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B2507"/>
    <w:rPr>
      <w:rFonts w:ascii="Times New Roman" w:eastAsia="Times New Roman" w:hAnsi="Times New Roman"/>
      <w:sz w:val="16"/>
      <w:szCs w:val="16"/>
      <w:lang w:val="en-US" w:eastAsia="en-US"/>
    </w:rPr>
  </w:style>
  <w:style w:type="character" w:customStyle="1" w:styleId="NormalWebChar">
    <w:name w:val="Normal (Web) Char"/>
    <w:link w:val="NormalWeb"/>
    <w:uiPriority w:val="99"/>
    <w:rsid w:val="0072454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3942521">
      <w:bodyDiv w:val="1"/>
      <w:marLeft w:val="0"/>
      <w:marRight w:val="0"/>
      <w:marTop w:val="0"/>
      <w:marBottom w:val="0"/>
      <w:divBdr>
        <w:top w:val="none" w:sz="0" w:space="0" w:color="auto"/>
        <w:left w:val="none" w:sz="0" w:space="0" w:color="auto"/>
        <w:bottom w:val="none" w:sz="0" w:space="0" w:color="auto"/>
        <w:right w:val="none" w:sz="0" w:space="0" w:color="auto"/>
      </w:divBdr>
    </w:div>
    <w:div w:id="18583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79CF-A4B4-4CDE-AA96-4D86E8FE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8740</Words>
  <Characters>32646</Characters>
  <Application>Microsoft Office Word</Application>
  <DocSecurity>0</DocSecurity>
  <Lines>272</Lines>
  <Paragraphs>82</Paragraphs>
  <ScaleCrop>false</ScaleCrop>
  <HeadingPairs>
    <vt:vector size="2" baseType="variant">
      <vt:variant>
        <vt:lpstr>Title</vt:lpstr>
      </vt:variant>
      <vt:variant>
        <vt:i4>1</vt:i4>
      </vt:variant>
    </vt:vector>
  </HeadingPairs>
  <TitlesOfParts>
    <vt:vector size="1" baseType="lpstr">
      <vt:lpstr/>
    </vt:vector>
  </TitlesOfParts>
  <Company>TKTH-TCTK</Company>
  <LinksUpToDate>false</LinksUpToDate>
  <CharactersWithSpaces>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dtthuy</dc:creator>
  <cp:lastModifiedBy>ptnam</cp:lastModifiedBy>
  <cp:revision>2</cp:revision>
  <cp:lastPrinted>2018-04-27T01:05:00Z</cp:lastPrinted>
  <dcterms:created xsi:type="dcterms:W3CDTF">2018-04-29T01:28:00Z</dcterms:created>
  <dcterms:modified xsi:type="dcterms:W3CDTF">2018-04-29T01:28:00Z</dcterms:modified>
</cp:coreProperties>
</file>