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D4" w:rsidRPr="00003735" w:rsidRDefault="000401D4" w:rsidP="00962C7A">
      <w:pPr>
        <w:autoSpaceDE w:val="0"/>
        <w:autoSpaceDN w:val="0"/>
        <w:spacing w:before="120"/>
        <w:jc w:val="center"/>
        <w:rPr>
          <w:b/>
          <w:bCs/>
          <w:spacing w:val="0"/>
          <w:sz w:val="26"/>
          <w:szCs w:val="26"/>
        </w:rPr>
      </w:pPr>
      <w:r w:rsidRPr="00003735">
        <w:rPr>
          <w:b/>
          <w:bCs/>
          <w:spacing w:val="0"/>
          <w:sz w:val="26"/>
          <w:szCs w:val="26"/>
        </w:rPr>
        <w:t>CỘNG HÒA XÃ HỘI CHỦ NGHĨA VIỆT NAM</w:t>
      </w:r>
    </w:p>
    <w:p w:rsidR="000401D4" w:rsidRDefault="000401D4" w:rsidP="00962C7A">
      <w:pPr>
        <w:autoSpaceDE w:val="0"/>
        <w:autoSpaceDN w:val="0"/>
        <w:jc w:val="center"/>
        <w:rPr>
          <w:b/>
          <w:bCs/>
          <w:spacing w:val="0"/>
        </w:rPr>
      </w:pPr>
      <w:r w:rsidRPr="00003735">
        <w:rPr>
          <w:b/>
          <w:bCs/>
          <w:spacing w:val="0"/>
        </w:rPr>
        <w:t xml:space="preserve">Độc lập </w:t>
      </w:r>
      <w:r w:rsidR="00F12C31" w:rsidRPr="00003735">
        <w:rPr>
          <w:b/>
          <w:bCs/>
          <w:spacing w:val="0"/>
        </w:rPr>
        <w:t>-</w:t>
      </w:r>
      <w:r w:rsidRPr="00003735">
        <w:rPr>
          <w:b/>
          <w:bCs/>
          <w:spacing w:val="0"/>
        </w:rPr>
        <w:t xml:space="preserve"> Tự do </w:t>
      </w:r>
      <w:r w:rsidR="00F12C31" w:rsidRPr="00003735">
        <w:rPr>
          <w:b/>
          <w:bCs/>
          <w:spacing w:val="0"/>
        </w:rPr>
        <w:t>-</w:t>
      </w:r>
      <w:r w:rsidRPr="00003735">
        <w:rPr>
          <w:b/>
          <w:bCs/>
          <w:spacing w:val="0"/>
        </w:rPr>
        <w:t xml:space="preserve"> Hạnh phúc</w:t>
      </w:r>
    </w:p>
    <w:p w:rsidR="0096109A" w:rsidRPr="00003735" w:rsidRDefault="0096109A" w:rsidP="00962C7A">
      <w:pPr>
        <w:autoSpaceDE w:val="0"/>
        <w:autoSpaceDN w:val="0"/>
        <w:jc w:val="center"/>
        <w:rPr>
          <w:b/>
          <w:bCs/>
          <w:spacing w:val="0"/>
        </w:rPr>
      </w:pPr>
      <w:r>
        <w:rPr>
          <w:b/>
          <w:bCs/>
          <w:spacing w:val="0"/>
        </w:rPr>
        <w:t>----------------------</w:t>
      </w:r>
    </w:p>
    <w:p w:rsidR="000401D4" w:rsidRPr="00003735" w:rsidRDefault="000401D4" w:rsidP="000401D4">
      <w:pPr>
        <w:keepNext/>
        <w:spacing w:before="120" w:after="120"/>
        <w:ind w:firstLine="567"/>
        <w:jc w:val="both"/>
        <w:rPr>
          <w:b/>
          <w:bCs/>
          <w:spacing w:val="0"/>
          <w:sz w:val="22"/>
        </w:rPr>
      </w:pPr>
    </w:p>
    <w:p w:rsidR="000401D4" w:rsidRPr="00003735" w:rsidRDefault="000401D4" w:rsidP="0096109A">
      <w:pPr>
        <w:pStyle w:val="normal-p"/>
        <w:keepNext/>
        <w:spacing w:before="0" w:beforeAutospacing="0" w:after="0" w:afterAutospacing="0"/>
        <w:jc w:val="center"/>
        <w:rPr>
          <w:sz w:val="30"/>
          <w:szCs w:val="30"/>
        </w:rPr>
      </w:pPr>
      <w:r w:rsidRPr="00003735">
        <w:rPr>
          <w:rStyle w:val="normal-h"/>
          <w:b/>
          <w:bCs/>
          <w:sz w:val="30"/>
          <w:szCs w:val="30"/>
        </w:rPr>
        <w:t>LUẬT</w:t>
      </w:r>
    </w:p>
    <w:p w:rsidR="0096109A" w:rsidRDefault="007E38F9" w:rsidP="0096109A">
      <w:pPr>
        <w:keepNext/>
        <w:jc w:val="center"/>
        <w:rPr>
          <w:rStyle w:val="normal-h"/>
          <w:b/>
          <w:bCs/>
          <w:spacing w:val="0"/>
          <w:sz w:val="30"/>
          <w:szCs w:val="30"/>
        </w:rPr>
      </w:pPr>
      <w:r w:rsidRPr="00003735">
        <w:rPr>
          <w:rStyle w:val="normal-h"/>
          <w:b/>
          <w:bCs/>
          <w:spacing w:val="0"/>
          <w:sz w:val="30"/>
          <w:szCs w:val="30"/>
        </w:rPr>
        <w:t xml:space="preserve">SỬA ĐỔI, BỔ SUNG MỘT SỐ ĐIỀU </w:t>
      </w:r>
    </w:p>
    <w:p w:rsidR="00797269" w:rsidRPr="00003735" w:rsidRDefault="007E38F9" w:rsidP="0096109A">
      <w:pPr>
        <w:keepNext/>
        <w:jc w:val="center"/>
        <w:rPr>
          <w:i/>
          <w:iCs/>
          <w:spacing w:val="0"/>
          <w:sz w:val="24"/>
          <w:szCs w:val="24"/>
        </w:rPr>
      </w:pPr>
      <w:r w:rsidRPr="00003735">
        <w:rPr>
          <w:rStyle w:val="normal-h"/>
          <w:b/>
          <w:bCs/>
          <w:spacing w:val="0"/>
          <w:sz w:val="30"/>
          <w:szCs w:val="30"/>
        </w:rPr>
        <w:t xml:space="preserve">CỦA </w:t>
      </w:r>
      <w:r w:rsidR="00496C8D">
        <w:rPr>
          <w:rStyle w:val="normal-h"/>
          <w:b/>
          <w:bCs/>
          <w:spacing w:val="0"/>
          <w:sz w:val="30"/>
          <w:szCs w:val="30"/>
        </w:rPr>
        <w:t>LUẬT ĐẦU TƯ CÔNG</w:t>
      </w:r>
    </w:p>
    <w:p w:rsidR="000401D4" w:rsidRPr="00003735" w:rsidRDefault="000401D4" w:rsidP="0096109A">
      <w:pPr>
        <w:pStyle w:val="normal-p"/>
        <w:spacing w:before="0" w:beforeAutospacing="0" w:after="0" w:afterAutospacing="0"/>
        <w:jc w:val="both"/>
        <w:rPr>
          <w:rStyle w:val="normal-h"/>
          <w:sz w:val="4"/>
          <w:szCs w:val="28"/>
        </w:rPr>
      </w:pPr>
    </w:p>
    <w:p w:rsidR="00BB7345" w:rsidRPr="00003735" w:rsidRDefault="002A347B" w:rsidP="000D0668">
      <w:pPr>
        <w:pStyle w:val="normal-p"/>
        <w:spacing w:beforeAutospacing="0" w:after="80" w:afterAutospacing="0"/>
        <w:ind w:firstLine="567"/>
        <w:jc w:val="both"/>
        <w:rPr>
          <w:rStyle w:val="normal-h"/>
          <w:iCs/>
          <w:sz w:val="40"/>
          <w:szCs w:val="28"/>
        </w:rPr>
      </w:pPr>
      <w:r>
        <w:rPr>
          <w:i/>
          <w:iCs/>
          <w:noProof/>
        </w:rPr>
        <mc:AlternateContent>
          <mc:Choice Requires="wps">
            <w:drawing>
              <wp:anchor distT="0" distB="0" distL="114300" distR="114300" simplePos="0" relativeHeight="251658240" behindDoc="0" locked="0" layoutInCell="1" allowOverlap="1">
                <wp:simplePos x="0" y="0"/>
                <wp:positionH relativeFrom="column">
                  <wp:posOffset>-374650</wp:posOffset>
                </wp:positionH>
                <wp:positionV relativeFrom="paragraph">
                  <wp:posOffset>146050</wp:posOffset>
                </wp:positionV>
                <wp:extent cx="1568450" cy="261620"/>
                <wp:effectExtent l="6350" t="12700" r="635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61620"/>
                        </a:xfrm>
                        <a:prstGeom prst="rect">
                          <a:avLst/>
                        </a:prstGeom>
                        <a:solidFill>
                          <a:srgbClr val="FFFFFF"/>
                        </a:solidFill>
                        <a:ln w="9525">
                          <a:solidFill>
                            <a:srgbClr val="000000"/>
                          </a:solidFill>
                          <a:miter lim="800000"/>
                          <a:headEnd/>
                          <a:tailEnd/>
                        </a:ln>
                      </wps:spPr>
                      <wps:txbx>
                        <w:txbxContent>
                          <w:p w:rsidR="00797269" w:rsidRPr="00ED26C4" w:rsidRDefault="00797269" w:rsidP="00797269">
                            <w:pPr>
                              <w:jc w:val="both"/>
                              <w:rPr>
                                <w:sz w:val="22"/>
                                <w:szCs w:val="22"/>
                              </w:rPr>
                            </w:pPr>
                            <w:r w:rsidRPr="00ED26C4">
                              <w:rPr>
                                <w:i/>
                                <w:iCs/>
                                <w:spacing w:val="0"/>
                                <w:sz w:val="22"/>
                                <w:szCs w:val="22"/>
                              </w:rPr>
                              <w:t xml:space="preserve">Dự thảo đề cương Luật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5pt;margin-top:11.5pt;width:123.5pt;height:20.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">
                <v:textbox style="mso-fit-shape-to-text:t">
                  <w:txbxContent>
                    <w:p w:rsidR="00797269" w:rsidRPr="00ED26C4" w:rsidRDefault="00797269" w:rsidP="00797269">
                      <w:pPr>
                        <w:jc w:val="both"/>
                        <w:rPr>
                          <w:sz w:val="22"/>
                          <w:szCs w:val="22"/>
                        </w:rPr>
                      </w:pPr>
                      <w:r w:rsidRPr="00ED26C4">
                        <w:rPr>
                          <w:i/>
                          <w:iCs/>
                          <w:spacing w:val="0"/>
                          <w:sz w:val="22"/>
                          <w:szCs w:val="22"/>
                        </w:rPr>
                        <w:t xml:space="preserve">Dự thảo đề cương Luật </w:t>
                      </w:r>
                    </w:p>
                  </w:txbxContent>
                </v:textbox>
              </v:shape>
            </w:pict>
          </mc:Fallback>
        </mc:AlternateContent>
      </w:r>
    </w:p>
    <w:p w:rsidR="00797269" w:rsidRPr="00003735" w:rsidRDefault="0048138A" w:rsidP="00FF30DD">
      <w:pPr>
        <w:pStyle w:val="normal-p"/>
        <w:spacing w:before="120" w:beforeAutospacing="0" w:after="120" w:afterAutospacing="0"/>
        <w:ind w:firstLine="567"/>
        <w:jc w:val="both"/>
        <w:rPr>
          <w:rStyle w:val="normal-h"/>
          <w:i/>
          <w:iCs/>
          <w:sz w:val="28"/>
          <w:szCs w:val="28"/>
        </w:rPr>
      </w:pPr>
      <w:r w:rsidRPr="00003735">
        <w:rPr>
          <w:rStyle w:val="normal-h"/>
          <w:i/>
          <w:iCs/>
          <w:sz w:val="28"/>
          <w:szCs w:val="28"/>
        </w:rPr>
        <w:tab/>
      </w:r>
    </w:p>
    <w:p w:rsidR="00146AA8" w:rsidRPr="00003735" w:rsidRDefault="00146AA8" w:rsidP="0096109A">
      <w:pPr>
        <w:pStyle w:val="normal-p"/>
        <w:spacing w:before="120" w:beforeAutospacing="0" w:after="120" w:afterAutospacing="0" w:line="288" w:lineRule="auto"/>
        <w:ind w:firstLine="567"/>
        <w:jc w:val="both"/>
        <w:rPr>
          <w:rStyle w:val="normal-h"/>
          <w:i/>
          <w:iCs/>
          <w:sz w:val="28"/>
          <w:szCs w:val="28"/>
        </w:rPr>
      </w:pPr>
      <w:r w:rsidRPr="00003735">
        <w:rPr>
          <w:rStyle w:val="normal-h"/>
          <w:i/>
          <w:iCs/>
          <w:sz w:val="28"/>
          <w:szCs w:val="28"/>
        </w:rPr>
        <w:t xml:space="preserve">Căn cứ Hiến pháp nước Cộng </w:t>
      </w:r>
      <w:r w:rsidR="00F80533" w:rsidRPr="00003735">
        <w:rPr>
          <w:rStyle w:val="normal-h"/>
          <w:i/>
          <w:iCs/>
          <w:sz w:val="28"/>
          <w:szCs w:val="28"/>
        </w:rPr>
        <w:t>hòa</w:t>
      </w:r>
      <w:r w:rsidR="00792A9E" w:rsidRPr="00003735">
        <w:rPr>
          <w:rStyle w:val="normal-h"/>
          <w:i/>
          <w:iCs/>
          <w:sz w:val="28"/>
          <w:szCs w:val="28"/>
        </w:rPr>
        <w:t xml:space="preserve"> xã hội chủ nghĩa Việt Nam</w:t>
      </w:r>
      <w:r w:rsidRPr="00003735">
        <w:rPr>
          <w:rStyle w:val="normal-h"/>
          <w:i/>
          <w:iCs/>
          <w:sz w:val="28"/>
          <w:szCs w:val="28"/>
        </w:rPr>
        <w:t>;</w:t>
      </w:r>
    </w:p>
    <w:p w:rsidR="0048138A" w:rsidRPr="00003735" w:rsidRDefault="0048138A" w:rsidP="0096109A">
      <w:pPr>
        <w:spacing w:before="120" w:after="120" w:line="288" w:lineRule="auto"/>
        <w:ind w:firstLine="567"/>
        <w:jc w:val="both"/>
        <w:rPr>
          <w:i/>
        </w:rPr>
      </w:pPr>
      <w:r w:rsidRPr="00003735">
        <w:rPr>
          <w:i/>
        </w:rPr>
        <w:t xml:space="preserve">Quốc hội ban hành Luật sửa đổi, bổ sung một số điều của </w:t>
      </w:r>
      <w:r w:rsidR="00496C8D">
        <w:rPr>
          <w:i/>
        </w:rPr>
        <w:t>Luật Đầu tư công số 49/2</w:t>
      </w:r>
      <w:r w:rsidR="00EB2272">
        <w:rPr>
          <w:i/>
        </w:rPr>
        <w:t>014/QH13 ngày 18 tháng 6 năm 20</w:t>
      </w:r>
      <w:r w:rsidR="00243A9A">
        <w:rPr>
          <w:i/>
        </w:rPr>
        <w:t>1</w:t>
      </w:r>
      <w:r w:rsidR="00EB2272">
        <w:rPr>
          <w:i/>
        </w:rPr>
        <w:t>4</w:t>
      </w:r>
      <w:r w:rsidRPr="00003735">
        <w:rPr>
          <w:i/>
        </w:rPr>
        <w:t>.</w:t>
      </w:r>
    </w:p>
    <w:p w:rsidR="00903B30" w:rsidRPr="00003735" w:rsidRDefault="00903B30" w:rsidP="0096109A">
      <w:pPr>
        <w:widowControl w:val="0"/>
        <w:spacing w:before="120" w:after="120" w:line="288" w:lineRule="auto"/>
        <w:ind w:firstLine="567"/>
        <w:jc w:val="both"/>
        <w:rPr>
          <w:b/>
          <w:lang w:val="nl-NL" w:eastAsia="vi-VN"/>
        </w:rPr>
      </w:pPr>
    </w:p>
    <w:p w:rsidR="002F50F0" w:rsidRPr="00003735" w:rsidRDefault="002F50F0" w:rsidP="0096109A">
      <w:pPr>
        <w:widowControl w:val="0"/>
        <w:spacing w:before="120" w:after="120" w:line="288" w:lineRule="auto"/>
        <w:ind w:firstLine="567"/>
        <w:jc w:val="both"/>
        <w:rPr>
          <w:b/>
          <w:bCs/>
          <w:lang w:val="sv-SE" w:eastAsia="vi-VN"/>
        </w:rPr>
      </w:pPr>
      <w:r w:rsidRPr="00003735">
        <w:rPr>
          <w:b/>
          <w:lang w:val="nl-NL" w:eastAsia="vi-VN"/>
        </w:rPr>
        <w:t xml:space="preserve">Điều </w:t>
      </w:r>
      <w:r w:rsidRPr="00003735">
        <w:rPr>
          <w:b/>
          <w:bCs/>
          <w:lang w:val="sv-SE" w:eastAsia="vi-VN"/>
        </w:rPr>
        <w:t xml:space="preserve">1 </w:t>
      </w:r>
    </w:p>
    <w:p w:rsidR="00635CA1" w:rsidRPr="00003735" w:rsidRDefault="00635CA1" w:rsidP="0096109A">
      <w:pPr>
        <w:widowControl w:val="0"/>
        <w:spacing w:before="120" w:after="120" w:line="288" w:lineRule="auto"/>
        <w:ind w:firstLine="567"/>
        <w:jc w:val="both"/>
        <w:rPr>
          <w:bCs/>
          <w:lang w:val="sv-SE" w:eastAsia="vi-VN"/>
        </w:rPr>
      </w:pPr>
      <w:r w:rsidRPr="00003735">
        <w:rPr>
          <w:lang w:val="nl-NL" w:eastAsia="vi-VN"/>
        </w:rPr>
        <w:t xml:space="preserve">Sửa đổi, bổ sung một số điều của Luật </w:t>
      </w:r>
      <w:r w:rsidR="00496C8D">
        <w:rPr>
          <w:lang w:val="nl-NL" w:eastAsia="vi-VN"/>
        </w:rPr>
        <w:t>Đầu tư công số 49/2014/QH13 ngày 18  tháng 6 năm 201</w:t>
      </w:r>
      <w:r w:rsidR="00EB2272">
        <w:rPr>
          <w:lang w:val="nl-NL" w:eastAsia="vi-VN"/>
        </w:rPr>
        <w:t>4</w:t>
      </w:r>
      <w:r w:rsidRPr="00003735">
        <w:rPr>
          <w:bCs/>
          <w:lang w:val="sv-SE" w:eastAsia="vi-VN"/>
        </w:rPr>
        <w:t>:</w:t>
      </w:r>
    </w:p>
    <w:p w:rsidR="00716A88" w:rsidRDefault="00326B87" w:rsidP="0096109A">
      <w:pPr>
        <w:widowControl w:val="0"/>
        <w:spacing w:before="120" w:after="120" w:line="288" w:lineRule="auto"/>
        <w:ind w:firstLine="567"/>
        <w:jc w:val="both"/>
        <w:rPr>
          <w:lang w:val="nl-NL" w:eastAsia="vi-VN"/>
        </w:rPr>
      </w:pPr>
      <w:r>
        <w:rPr>
          <w:lang w:val="sv-SE" w:eastAsia="vi-VN"/>
        </w:rPr>
        <w:t xml:space="preserve">1. Điểm b khoản 1 Điều 6 </w:t>
      </w:r>
      <w:r w:rsidR="00635CA1" w:rsidRPr="00003735">
        <w:rPr>
          <w:lang w:val="nl-NL" w:eastAsia="vi-VN"/>
        </w:rPr>
        <w:t xml:space="preserve">được </w:t>
      </w:r>
      <w:r w:rsidR="00635CA1" w:rsidRPr="00003735">
        <w:rPr>
          <w:lang w:val="sv-SE" w:eastAsia="vi-VN"/>
        </w:rPr>
        <w:t xml:space="preserve">sửa đổi, bổ sung </w:t>
      </w:r>
      <w:r w:rsidR="00635CA1" w:rsidRPr="00003735">
        <w:rPr>
          <w:lang w:val="nl-NL" w:eastAsia="vi-VN"/>
        </w:rPr>
        <w:t xml:space="preserve">như sau: </w:t>
      </w:r>
    </w:p>
    <w:p w:rsidR="00635CA1" w:rsidRPr="00003735" w:rsidRDefault="00635CA1" w:rsidP="0096109A">
      <w:pPr>
        <w:widowControl w:val="0"/>
        <w:spacing w:before="120" w:after="120" w:line="288" w:lineRule="auto"/>
        <w:ind w:firstLine="567"/>
        <w:jc w:val="both"/>
        <w:rPr>
          <w:bCs/>
          <w:lang w:val="sv-SE"/>
        </w:rPr>
      </w:pPr>
      <w:r w:rsidRPr="00003735">
        <w:rPr>
          <w:lang w:val="nl-NL" w:eastAsia="vi-VN"/>
        </w:rPr>
        <w:t>“</w:t>
      </w:r>
      <w:r w:rsidR="00326B87">
        <w:rPr>
          <w:spacing w:val="4"/>
          <w:lang w:val="nl-NL"/>
        </w:rPr>
        <w:t xml:space="preserve">b.Dự án không có cấu phần xây dựng là </w:t>
      </w:r>
      <w:r w:rsidR="00326B87" w:rsidRPr="00716A88">
        <w:rPr>
          <w:i/>
          <w:spacing w:val="4"/>
          <w:lang w:val="nl-NL"/>
        </w:rPr>
        <w:t>dự án mua sắm tài sản, lắp đặt trang thiết bị không có cấu phần xây dựng hoặc có cấu phần xây dựng nhưng chiếm tỷ lệ từ 1-5% tổng mức đầu tư dự án</w:t>
      </w:r>
      <w:r w:rsidR="00243A9A">
        <w:rPr>
          <w:i/>
          <w:spacing w:val="4"/>
          <w:lang w:val="nl-NL"/>
        </w:rPr>
        <w:t xml:space="preserve"> và không quá 15 tỷ đồng</w:t>
      </w:r>
      <w:r w:rsidR="00326B87">
        <w:rPr>
          <w:spacing w:val="4"/>
          <w:lang w:val="nl-NL"/>
        </w:rPr>
        <w:t>, nhận chuyển nhượng sử dụng đất, mua, sửa chữa, nâng cấp trang thiết bị,</w:t>
      </w:r>
      <w:r w:rsidR="000C176A">
        <w:rPr>
          <w:spacing w:val="4"/>
          <w:lang w:val="nl-NL"/>
        </w:rPr>
        <w:t xml:space="preserve"> máy móc và dự án khác không quy</w:t>
      </w:r>
      <w:r w:rsidR="00326B87">
        <w:rPr>
          <w:spacing w:val="4"/>
          <w:lang w:val="nl-NL"/>
        </w:rPr>
        <w:t xml:space="preserve"> định tại điểm a khoản này</w:t>
      </w:r>
      <w:r w:rsidR="00347793" w:rsidRPr="00003735">
        <w:rPr>
          <w:lang w:val="nl-NL"/>
        </w:rPr>
        <w:t>.</w:t>
      </w:r>
      <w:r w:rsidR="00716A88">
        <w:rPr>
          <w:bCs/>
          <w:lang w:val="sv-SE"/>
        </w:rPr>
        <w:t>”</w:t>
      </w:r>
    </w:p>
    <w:p w:rsidR="00635CA1" w:rsidRDefault="00635CA1" w:rsidP="0096109A">
      <w:pPr>
        <w:widowControl w:val="0"/>
        <w:spacing w:before="120" w:after="120" w:line="288" w:lineRule="auto"/>
        <w:ind w:firstLine="567"/>
        <w:jc w:val="both"/>
        <w:rPr>
          <w:bCs/>
          <w:lang w:val="sv-SE"/>
        </w:rPr>
      </w:pPr>
      <w:r w:rsidRPr="00003735">
        <w:rPr>
          <w:bCs/>
          <w:lang w:val="sv-SE"/>
        </w:rPr>
        <w:t xml:space="preserve">2. </w:t>
      </w:r>
      <w:r w:rsidR="00716A88">
        <w:rPr>
          <w:bCs/>
          <w:lang w:val="sv-SE"/>
        </w:rPr>
        <w:t>Điểm a</w:t>
      </w:r>
      <w:r w:rsidR="00243A9A">
        <w:rPr>
          <w:bCs/>
          <w:lang w:val="sv-SE"/>
        </w:rPr>
        <w:t>,b,c</w:t>
      </w:r>
      <w:r w:rsidR="00716A88">
        <w:rPr>
          <w:bCs/>
          <w:lang w:val="sv-SE"/>
        </w:rPr>
        <w:t xml:space="preserve"> khoản 1 Điều 8 được sửa đổi, bổ sung như sau:</w:t>
      </w:r>
    </w:p>
    <w:p w:rsidR="00243A9A" w:rsidRDefault="00C35C85" w:rsidP="0096109A">
      <w:pPr>
        <w:widowControl w:val="0"/>
        <w:spacing w:before="120" w:after="120" w:line="288" w:lineRule="auto"/>
        <w:ind w:firstLine="567"/>
        <w:jc w:val="both"/>
        <w:rPr>
          <w:lang w:val="nl-NL" w:eastAsia="vi-VN"/>
        </w:rPr>
      </w:pPr>
      <w:r w:rsidRPr="00003735">
        <w:rPr>
          <w:lang w:val="nl-NL" w:eastAsia="vi-VN"/>
        </w:rPr>
        <w:t>“</w:t>
      </w:r>
      <w:r>
        <w:rPr>
          <w:lang w:val="nl-NL" w:eastAsia="vi-VN"/>
        </w:rPr>
        <w:t xml:space="preserve">a) </w:t>
      </w:r>
      <w:r w:rsidR="00243A9A">
        <w:rPr>
          <w:lang w:val="nl-NL" w:eastAsia="vi-VN"/>
        </w:rPr>
        <w:t>Bãi bỏ điểm a khoản 1 Điều 8.</w:t>
      </w:r>
    </w:p>
    <w:p w:rsidR="003A68E1" w:rsidRDefault="00243A9A" w:rsidP="0096109A">
      <w:pPr>
        <w:widowControl w:val="0"/>
        <w:spacing w:before="120" w:after="120" w:line="288" w:lineRule="auto"/>
        <w:ind w:firstLine="567"/>
        <w:jc w:val="both"/>
        <w:rPr>
          <w:bCs/>
          <w:lang w:val="sv-SE"/>
        </w:rPr>
      </w:pPr>
      <w:r>
        <w:rPr>
          <w:lang w:val="nl-NL" w:eastAsia="vi-VN"/>
        </w:rPr>
        <w:t xml:space="preserve">  b và c) </w:t>
      </w:r>
      <w:r w:rsidRPr="00243A9A">
        <w:rPr>
          <w:i/>
        </w:rPr>
        <w:t>Dự án tối mật, tuyệt mật. Mức độ mật của Dự án do cơ quan ban hành chủ trương đầu tư xác định theo quy định của pháp luật</w:t>
      </w:r>
      <w:r w:rsidR="00C35C85" w:rsidRPr="00243A9A">
        <w:rPr>
          <w:i/>
          <w:lang w:val="nl-NL" w:eastAsia="vi-VN"/>
        </w:rPr>
        <w:t>Dự án tại khu vực I (vùng lõi) của di tích quốc gia đặc biệt</w:t>
      </w:r>
      <w:r w:rsidR="00C35C85">
        <w:rPr>
          <w:lang w:val="nl-NL" w:eastAsia="vi-VN"/>
        </w:rPr>
        <w:t>”.</w:t>
      </w:r>
    </w:p>
    <w:p w:rsidR="00716A88" w:rsidRDefault="00716A88" w:rsidP="0096109A">
      <w:pPr>
        <w:widowControl w:val="0"/>
        <w:spacing w:before="120" w:after="120" w:line="288" w:lineRule="auto"/>
        <w:ind w:firstLine="567"/>
        <w:jc w:val="both"/>
        <w:rPr>
          <w:bCs/>
          <w:lang w:val="sv-SE"/>
        </w:rPr>
      </w:pPr>
      <w:r>
        <w:rPr>
          <w:bCs/>
          <w:lang w:val="sv-SE"/>
        </w:rPr>
        <w:t>3. Khoản 6 Điều 23 được sửa đổi, bổ sung như sau:</w:t>
      </w:r>
    </w:p>
    <w:p w:rsidR="00716A88" w:rsidRDefault="00716A88" w:rsidP="0096109A">
      <w:pPr>
        <w:widowControl w:val="0"/>
        <w:spacing w:before="120" w:after="120" w:line="288" w:lineRule="auto"/>
        <w:ind w:firstLine="567"/>
        <w:jc w:val="both"/>
        <w:rPr>
          <w:bCs/>
          <w:lang w:val="sv-SE"/>
        </w:rPr>
      </w:pPr>
      <w:r w:rsidRPr="00003735">
        <w:rPr>
          <w:lang w:val="sv-SE"/>
        </w:rPr>
        <w:t>“</w:t>
      </w:r>
      <w:r w:rsidRPr="00C35C85">
        <w:rPr>
          <w:bCs/>
          <w:i/>
          <w:lang w:val="sv-SE"/>
        </w:rPr>
        <w:t>6.</w:t>
      </w:r>
      <w:r>
        <w:rPr>
          <w:bCs/>
          <w:lang w:val="sv-SE"/>
        </w:rPr>
        <w:t xml:space="preserve"> Thủ tướng Chính phủ quyết định chủ trương đầu tư, bao gồm mục tiêu, quy mô, tổng mức đầu tư, cơ cấu nguồn vốn, địa điểm, thời gian, tiến độ thực hiện. </w:t>
      </w:r>
      <w:r w:rsidRPr="00716A88">
        <w:rPr>
          <w:bCs/>
          <w:i/>
          <w:lang w:val="sv-SE"/>
        </w:rPr>
        <w:t>Riêng nội dung chủ trương đầu tư của Thủ tướng Chính phủ đối với dự án thực hiện theo hình thức đối tác công tư thực hiện theo quy định của Chính phủ</w:t>
      </w:r>
      <w:r>
        <w:rPr>
          <w:bCs/>
          <w:lang w:val="sv-SE"/>
        </w:rPr>
        <w:t>”.</w:t>
      </w:r>
    </w:p>
    <w:p w:rsidR="00C35C85" w:rsidRDefault="00C35C85" w:rsidP="0096109A">
      <w:pPr>
        <w:widowControl w:val="0"/>
        <w:spacing w:before="120" w:after="120" w:line="288" w:lineRule="auto"/>
        <w:ind w:firstLine="567"/>
        <w:jc w:val="both"/>
        <w:rPr>
          <w:bCs/>
          <w:lang w:val="sv-SE"/>
        </w:rPr>
      </w:pPr>
      <w:r>
        <w:rPr>
          <w:bCs/>
          <w:lang w:val="sv-SE"/>
        </w:rPr>
        <w:lastRenderedPageBreak/>
        <w:t xml:space="preserve">4. </w:t>
      </w:r>
      <w:r w:rsidR="00022966">
        <w:rPr>
          <w:bCs/>
          <w:lang w:val="sv-SE"/>
        </w:rPr>
        <w:t>Điểm a khoản 2 Điều 29 được sửa đổi, bổ sung như sau:</w:t>
      </w:r>
    </w:p>
    <w:p w:rsidR="00243A9A" w:rsidRDefault="00022966" w:rsidP="0096109A">
      <w:pPr>
        <w:widowControl w:val="0"/>
        <w:spacing w:before="120" w:after="120" w:line="288" w:lineRule="auto"/>
        <w:ind w:firstLine="567"/>
        <w:jc w:val="both"/>
        <w:rPr>
          <w:bCs/>
          <w:lang w:val="sv-SE"/>
        </w:rPr>
      </w:pPr>
      <w:r w:rsidRPr="00003735">
        <w:rPr>
          <w:lang w:val="sv-SE"/>
        </w:rPr>
        <w:t>“</w:t>
      </w:r>
      <w:r>
        <w:rPr>
          <w:bCs/>
          <w:lang w:val="sv-SE"/>
        </w:rPr>
        <w:t xml:space="preserve">a) </w:t>
      </w:r>
      <w:r w:rsidR="00243A9A">
        <w:rPr>
          <w:bCs/>
          <w:lang w:val="sv-SE"/>
        </w:rPr>
        <w:t>Chủ tịch Ủy ban nhân dân cấp tỉnh thành lập Hội đồng thẩm định theo quy định tại điểm b khoản 2 Điều 23 của Luật này hoặc giao Sở Kế hoạch và Đầu tư chủ trì, phối hợp với các cơ quan có liên quan thẩm định Báo cáo đề xuất chủ trương đầu tư, nguồn vốn và khả năng cân đối vốn.</w:t>
      </w:r>
    </w:p>
    <w:p w:rsidR="00243A9A" w:rsidRDefault="00243A9A" w:rsidP="00243A9A">
      <w:pPr>
        <w:widowControl w:val="0"/>
        <w:spacing w:before="120" w:after="120" w:line="288" w:lineRule="auto"/>
        <w:ind w:firstLine="567"/>
        <w:jc w:val="both"/>
        <w:rPr>
          <w:bCs/>
          <w:lang w:val="sv-SE"/>
        </w:rPr>
      </w:pPr>
      <w:r>
        <w:rPr>
          <w:bCs/>
          <w:lang w:val="sv-SE"/>
        </w:rPr>
        <w:t>5. Bổ sung khoản 4 Điều 29 như sau:</w:t>
      </w:r>
    </w:p>
    <w:p w:rsidR="00243A9A" w:rsidRDefault="00243A9A" w:rsidP="00243A9A">
      <w:pPr>
        <w:widowControl w:val="0"/>
        <w:spacing w:before="120" w:after="120" w:line="288" w:lineRule="auto"/>
        <w:ind w:firstLine="567"/>
        <w:jc w:val="both"/>
        <w:rPr>
          <w:bCs/>
          <w:lang w:val="sv-SE"/>
        </w:rPr>
      </w:pPr>
      <w:r w:rsidRPr="00003735">
        <w:rPr>
          <w:lang w:val="sv-SE"/>
        </w:rPr>
        <w:t>“</w:t>
      </w:r>
      <w:r>
        <w:rPr>
          <w:lang w:val="sv-SE"/>
        </w:rPr>
        <w:t xml:space="preserve">a) </w:t>
      </w:r>
      <w:r>
        <w:rPr>
          <w:bCs/>
          <w:lang w:val="sv-SE"/>
        </w:rPr>
        <w:t xml:space="preserve">Đối với dự án do cấp huyện, cấp xã quản lý, Ủy ban nhân dân cấp huyện, cấp xã lập Báo cáo đề xuất chủ trương đầu tư, trình Hội đồng nhân dân cùng cấp cho ý kiến. Sau khi Hội đồng nhân dân chấp thuận, Ủy ban nhân dân cấp huyện, cấp xã gửi Sở Kế hoạch và Đầu tư </w:t>
      </w:r>
      <w:r>
        <w:rPr>
          <w:bCs/>
          <w:lang w:val="sv-SE"/>
        </w:rPr>
        <w:t>Báo cáo đề xuất chủ trương đầu tư</w:t>
      </w:r>
      <w:r>
        <w:rPr>
          <w:bCs/>
          <w:lang w:val="sv-SE"/>
        </w:rPr>
        <w:t>.</w:t>
      </w:r>
    </w:p>
    <w:p w:rsidR="00243A9A" w:rsidRDefault="00243A9A" w:rsidP="00243A9A">
      <w:pPr>
        <w:widowControl w:val="0"/>
        <w:spacing w:before="120" w:after="120" w:line="288" w:lineRule="auto"/>
        <w:ind w:firstLine="567"/>
        <w:jc w:val="both"/>
        <w:rPr>
          <w:bCs/>
          <w:lang w:val="sv-SE"/>
        </w:rPr>
      </w:pPr>
      <w:r>
        <w:rPr>
          <w:bCs/>
          <w:lang w:val="sv-SE"/>
        </w:rPr>
        <w:t>b) Sở Kế hoạch và Đầu tư chủ trì, phối hợp với Sở Tài chính thẩm định nguồn vốn và khả năng cân đối vốn.</w:t>
      </w:r>
    </w:p>
    <w:p w:rsidR="00243A9A" w:rsidRDefault="00243A9A" w:rsidP="00243A9A">
      <w:pPr>
        <w:widowControl w:val="0"/>
        <w:spacing w:before="120" w:after="120" w:line="288" w:lineRule="auto"/>
        <w:ind w:firstLine="567"/>
        <w:jc w:val="both"/>
        <w:rPr>
          <w:bCs/>
          <w:lang w:val="sv-SE"/>
        </w:rPr>
      </w:pPr>
      <w:r>
        <w:rPr>
          <w:bCs/>
          <w:lang w:val="sv-SE"/>
        </w:rPr>
        <w:t xml:space="preserve"> </w:t>
      </w:r>
      <w:r>
        <w:rPr>
          <w:bCs/>
          <w:lang w:val="sv-SE"/>
        </w:rPr>
        <w:t>c)</w:t>
      </w:r>
      <w:r>
        <w:rPr>
          <w:bCs/>
          <w:lang w:val="sv-SE"/>
        </w:rPr>
        <w:t xml:space="preserve"> Ủy ban nhân dân cấp huyện, cấp xã</w:t>
      </w:r>
      <w:r>
        <w:rPr>
          <w:bCs/>
          <w:lang w:val="sv-SE"/>
        </w:rPr>
        <w:t xml:space="preserve"> chỉ đạo</w:t>
      </w:r>
      <w:r>
        <w:rPr>
          <w:bCs/>
          <w:lang w:val="sv-SE"/>
        </w:rPr>
        <w:t xml:space="preserve"> hoàn chỉnh Báo cáo đề xuất chủ trương đầu tư</w:t>
      </w:r>
      <w:r>
        <w:rPr>
          <w:bCs/>
          <w:lang w:val="sv-SE"/>
        </w:rPr>
        <w:t xml:space="preserve"> theo ý kiến của Sở Kế hoạch và Đầu tư.</w:t>
      </w:r>
    </w:p>
    <w:p w:rsidR="00243A9A" w:rsidRDefault="00243A9A" w:rsidP="00243A9A">
      <w:pPr>
        <w:widowControl w:val="0"/>
        <w:spacing w:before="120" w:after="120" w:line="288" w:lineRule="auto"/>
        <w:ind w:firstLine="567"/>
        <w:jc w:val="both"/>
        <w:rPr>
          <w:bCs/>
          <w:lang w:val="sv-SE"/>
        </w:rPr>
      </w:pPr>
      <w:r>
        <w:rPr>
          <w:bCs/>
          <w:lang w:val="sv-SE"/>
        </w:rPr>
        <w:t xml:space="preserve">d) Ủy ban nhân dân </w:t>
      </w:r>
      <w:r>
        <w:rPr>
          <w:bCs/>
          <w:lang w:val="sv-SE"/>
        </w:rPr>
        <w:t>trình Hội đồng nhân dân cùng cấp quyết định chủ trương đầu tư của dự án bao gồm mục tiêu, quy mô, tổng mức đầu tư, cơ cấu nguồn vốn, địa điểm, thời gian, tiến độ thực hiện”.</w:t>
      </w:r>
    </w:p>
    <w:p w:rsidR="00022966" w:rsidRDefault="00243A9A" w:rsidP="0096109A">
      <w:pPr>
        <w:widowControl w:val="0"/>
        <w:spacing w:before="120" w:after="120" w:line="288" w:lineRule="auto"/>
        <w:ind w:firstLine="567"/>
        <w:jc w:val="both"/>
        <w:rPr>
          <w:bCs/>
          <w:lang w:val="sv-SE"/>
        </w:rPr>
      </w:pPr>
      <w:r>
        <w:rPr>
          <w:bCs/>
          <w:lang w:val="sv-SE"/>
        </w:rPr>
        <w:t>6</w:t>
      </w:r>
      <w:r w:rsidR="00022966">
        <w:rPr>
          <w:bCs/>
          <w:lang w:val="sv-SE"/>
        </w:rPr>
        <w:t>. Khoản 4 Điều 30 được sửa đổi, bổ sung như sau:</w:t>
      </w:r>
    </w:p>
    <w:p w:rsidR="00022966" w:rsidRDefault="00022966" w:rsidP="0096109A">
      <w:pPr>
        <w:widowControl w:val="0"/>
        <w:spacing w:before="120" w:after="120" w:line="288" w:lineRule="auto"/>
        <w:ind w:firstLine="567"/>
        <w:jc w:val="both"/>
        <w:rPr>
          <w:lang w:val="sv-SE"/>
        </w:rPr>
      </w:pPr>
      <w:r w:rsidRPr="00003735">
        <w:rPr>
          <w:lang w:val="sv-SE"/>
        </w:rPr>
        <w:t>“</w:t>
      </w:r>
      <w:r>
        <w:rPr>
          <w:lang w:val="sv-SE"/>
        </w:rPr>
        <w:t xml:space="preserve">4. Ủy ban nhân dân cấp tỉnh quyết định chủ trương đầu tư </w:t>
      </w:r>
      <w:r w:rsidRPr="00022966">
        <w:rPr>
          <w:i/>
          <w:lang w:val="sv-SE"/>
        </w:rPr>
        <w:t>dự án do cấp tỉnh quản lý</w:t>
      </w:r>
      <w:r>
        <w:rPr>
          <w:lang w:val="sv-SE"/>
        </w:rPr>
        <w:t xml:space="preserve"> bao gồm mục tiêu, quy mô, tổng mức đầu tư, địa điểm, thời gian, tiến độ thực hiện.”</w:t>
      </w:r>
    </w:p>
    <w:p w:rsidR="00022966" w:rsidRDefault="00243A9A" w:rsidP="0096109A">
      <w:pPr>
        <w:widowControl w:val="0"/>
        <w:spacing w:before="120" w:after="120" w:line="288" w:lineRule="auto"/>
        <w:ind w:firstLine="567"/>
        <w:jc w:val="both"/>
        <w:rPr>
          <w:lang w:val="sv-SE"/>
        </w:rPr>
      </w:pPr>
      <w:r>
        <w:rPr>
          <w:lang w:val="sv-SE"/>
        </w:rPr>
        <w:t>7</w:t>
      </w:r>
      <w:r w:rsidR="00022966">
        <w:rPr>
          <w:lang w:val="sv-SE"/>
        </w:rPr>
        <w:t xml:space="preserve">. </w:t>
      </w:r>
      <w:r w:rsidR="003E0950">
        <w:rPr>
          <w:lang w:val="sv-SE"/>
        </w:rPr>
        <w:t>Điểm c khoản 1 và điểm b khoản 2 Điều 31 được sửa đổi, bổ sung như sau:</w:t>
      </w:r>
    </w:p>
    <w:p w:rsidR="003E0950" w:rsidRDefault="003E0950" w:rsidP="0096109A">
      <w:pPr>
        <w:widowControl w:val="0"/>
        <w:spacing w:before="120" w:after="120" w:line="288" w:lineRule="auto"/>
        <w:ind w:firstLine="567"/>
        <w:jc w:val="both"/>
        <w:rPr>
          <w:lang w:val="sv-SE"/>
        </w:rPr>
      </w:pPr>
      <w:r w:rsidRPr="00003735">
        <w:rPr>
          <w:lang w:val="sv-SE"/>
        </w:rPr>
        <w:t>“</w:t>
      </w:r>
      <w:r w:rsidR="00D32A5A">
        <w:rPr>
          <w:lang w:val="sv-SE"/>
        </w:rPr>
        <w:t>1. Đối với dự án sử dụng</w:t>
      </w:r>
      <w:r>
        <w:rPr>
          <w:lang w:val="sv-SE"/>
        </w:rPr>
        <w:t xml:space="preserve"> vốn cân đối ngân sách địa phương cấp huyện và vốn từ nguồn thu để lại cho đầu tư nhưng chưa đưa vào cân đối ngân sách địa phương cấp huyện:</w:t>
      </w:r>
    </w:p>
    <w:p w:rsidR="003E0950" w:rsidRDefault="003E0950" w:rsidP="0096109A">
      <w:pPr>
        <w:widowControl w:val="0"/>
        <w:spacing w:before="120" w:after="120" w:line="288" w:lineRule="auto"/>
        <w:ind w:firstLine="567"/>
        <w:jc w:val="both"/>
        <w:rPr>
          <w:lang w:val="sv-SE"/>
        </w:rPr>
      </w:pPr>
      <w:r>
        <w:rPr>
          <w:lang w:val="sv-SE"/>
        </w:rPr>
        <w:t xml:space="preserve">c) Ủy ban nhân dân cấp huyện quyết định chủ trương đầu tư đối </w:t>
      </w:r>
      <w:r w:rsidRPr="003E0950">
        <w:rPr>
          <w:i/>
          <w:lang w:val="sv-SE"/>
        </w:rPr>
        <w:t>với dự án do cấp huyện quản lý</w:t>
      </w:r>
      <w:r>
        <w:rPr>
          <w:lang w:val="sv-SE"/>
        </w:rPr>
        <w:t>, bao gồm mục tiêu, quy mô, tổng mức đầu tư, cơ cấu nguồn vốn, địa điểm, thời gian, tiến độ thực hiện.</w:t>
      </w:r>
    </w:p>
    <w:p w:rsidR="003E0950" w:rsidRDefault="003E0950" w:rsidP="0096109A">
      <w:pPr>
        <w:widowControl w:val="0"/>
        <w:spacing w:before="120" w:after="120" w:line="288" w:lineRule="auto"/>
        <w:ind w:firstLine="567"/>
        <w:jc w:val="both"/>
        <w:rPr>
          <w:lang w:val="sv-SE"/>
        </w:rPr>
      </w:pPr>
      <w:r>
        <w:rPr>
          <w:lang w:val="sv-SE"/>
        </w:rPr>
        <w:t>2. Đối với dự án sử dụng vốn cân đối ngân sách địa phương cấp xã và vốn từ nguồn thu để lại cho đầu tư nhưng chưa đưa vào cân đối ngân sách địa phương cấp xã:</w:t>
      </w:r>
    </w:p>
    <w:p w:rsidR="003E0950" w:rsidRPr="00003735" w:rsidRDefault="003E0950" w:rsidP="0096109A">
      <w:pPr>
        <w:widowControl w:val="0"/>
        <w:spacing w:before="120" w:after="120" w:line="288" w:lineRule="auto"/>
        <w:ind w:firstLine="567"/>
        <w:jc w:val="both"/>
        <w:rPr>
          <w:bCs/>
          <w:lang w:val="sv-SE"/>
        </w:rPr>
      </w:pPr>
      <w:r>
        <w:rPr>
          <w:lang w:val="sv-SE"/>
        </w:rPr>
        <w:lastRenderedPageBreak/>
        <w:t>b) Ủy ban nhân dân cấp xã quyết định chủ trương đầu tư đối với dự án do cấp xã quản lý, bao gồm mục tiêu, quy mô, tổng mức đầu tư, cơ cấu nguồn vốn, địa điểm, thời gian, tiến độ thực hiện”.</w:t>
      </w:r>
    </w:p>
    <w:p w:rsidR="00635CA1" w:rsidRPr="00003735" w:rsidRDefault="00243A9A" w:rsidP="0096109A">
      <w:pPr>
        <w:widowControl w:val="0"/>
        <w:spacing w:before="120" w:after="120" w:line="288" w:lineRule="auto"/>
        <w:ind w:firstLine="567"/>
        <w:jc w:val="both"/>
        <w:rPr>
          <w:lang w:val="nl-NL" w:eastAsia="vi-VN"/>
        </w:rPr>
      </w:pPr>
      <w:r>
        <w:rPr>
          <w:bCs/>
          <w:lang w:val="sv-SE"/>
        </w:rPr>
        <w:t>8</w:t>
      </w:r>
      <w:r w:rsidR="00635CA1" w:rsidRPr="00003735">
        <w:rPr>
          <w:bCs/>
          <w:lang w:val="sv-SE"/>
        </w:rPr>
        <w:t xml:space="preserve">. Bãi bỏ điểm </w:t>
      </w:r>
      <w:r w:rsidR="000C176A">
        <w:rPr>
          <w:bCs/>
          <w:lang w:val="sv-SE"/>
        </w:rPr>
        <w:t>c</w:t>
      </w:r>
      <w:r w:rsidR="00635CA1" w:rsidRPr="00003735">
        <w:rPr>
          <w:bCs/>
          <w:lang w:val="sv-SE"/>
        </w:rPr>
        <w:t xml:space="preserve"> khoản </w:t>
      </w:r>
      <w:r w:rsidR="000C176A">
        <w:rPr>
          <w:bCs/>
          <w:lang w:val="sv-SE"/>
        </w:rPr>
        <w:t>3</w:t>
      </w:r>
      <w:r w:rsidR="00635CA1" w:rsidRPr="00003735">
        <w:rPr>
          <w:bCs/>
          <w:lang w:val="sv-SE"/>
        </w:rPr>
        <w:t xml:space="preserve"> Điều </w:t>
      </w:r>
      <w:r w:rsidR="000C176A">
        <w:rPr>
          <w:bCs/>
          <w:lang w:val="sv-SE"/>
        </w:rPr>
        <w:t>39</w:t>
      </w:r>
      <w:r w:rsidR="00635CA1" w:rsidRPr="00003735">
        <w:rPr>
          <w:lang w:val="nl-NL" w:eastAsia="vi-VN"/>
        </w:rPr>
        <w:t>.</w:t>
      </w:r>
    </w:p>
    <w:p w:rsidR="00635CA1" w:rsidRPr="00003735" w:rsidRDefault="00243A9A" w:rsidP="0096109A">
      <w:pPr>
        <w:widowControl w:val="0"/>
        <w:spacing w:before="120" w:after="120" w:line="288" w:lineRule="auto"/>
        <w:ind w:firstLine="567"/>
        <w:jc w:val="both"/>
        <w:rPr>
          <w:bCs/>
          <w:lang w:val="sv-SE"/>
        </w:rPr>
      </w:pPr>
      <w:r>
        <w:rPr>
          <w:bCs/>
          <w:lang w:val="sv-SE"/>
        </w:rPr>
        <w:t>9</w:t>
      </w:r>
      <w:r w:rsidR="00635CA1" w:rsidRPr="00003735">
        <w:rPr>
          <w:bCs/>
          <w:lang w:val="sv-SE"/>
        </w:rPr>
        <w:t xml:space="preserve">. Khoản </w:t>
      </w:r>
      <w:r w:rsidR="00496BB8">
        <w:rPr>
          <w:bCs/>
          <w:lang w:val="sv-SE"/>
        </w:rPr>
        <w:t>2</w:t>
      </w:r>
      <w:r w:rsidR="00635CA1" w:rsidRPr="00003735">
        <w:rPr>
          <w:bCs/>
          <w:lang w:val="sv-SE"/>
        </w:rPr>
        <w:t xml:space="preserve"> Điều </w:t>
      </w:r>
      <w:r w:rsidR="00496BB8">
        <w:rPr>
          <w:bCs/>
          <w:lang w:val="sv-SE"/>
        </w:rPr>
        <w:t>46</w:t>
      </w:r>
      <w:r w:rsidR="00635CA1" w:rsidRPr="00003735">
        <w:rPr>
          <w:bCs/>
          <w:lang w:val="sv-SE"/>
        </w:rPr>
        <w:t xml:space="preserve"> được sửa đổi, bổ sung như sau:</w:t>
      </w:r>
    </w:p>
    <w:p w:rsidR="00496BB8" w:rsidRDefault="00635CA1" w:rsidP="0096109A">
      <w:pPr>
        <w:widowControl w:val="0"/>
        <w:spacing w:before="120" w:after="120" w:line="288" w:lineRule="auto"/>
        <w:ind w:firstLine="567"/>
        <w:jc w:val="both"/>
      </w:pPr>
      <w:r w:rsidRPr="00003735">
        <w:rPr>
          <w:lang w:val="sv-SE"/>
        </w:rPr>
        <w:t>“</w:t>
      </w:r>
      <w:r w:rsidR="00496BB8">
        <w:rPr>
          <w:lang w:val="sv-SE"/>
        </w:rPr>
        <w:t>2</w:t>
      </w:r>
      <w:r w:rsidRPr="00003735">
        <w:rPr>
          <w:lang w:val="vi-VN"/>
        </w:rPr>
        <w:t xml:space="preserve">. </w:t>
      </w:r>
      <w:r w:rsidR="00496BB8">
        <w:t>Cấp có thẩm quyền quyết định dự án theo quy định tại Điều 39 của Luật này thực hiện việc điều chỉnh dự án trong các trường hợp sau:</w:t>
      </w:r>
    </w:p>
    <w:p w:rsidR="00496BB8" w:rsidRDefault="00496BB8" w:rsidP="0096109A">
      <w:pPr>
        <w:widowControl w:val="0"/>
        <w:spacing w:before="120" w:after="120" w:line="288" w:lineRule="auto"/>
        <w:ind w:firstLine="567"/>
        <w:jc w:val="both"/>
      </w:pPr>
      <w:r>
        <w:t>a) Do các nguyên nhân bất khả kháng làm thay đổi về mục tiêu, nội dung đầu tư, chi phí và thời gian thực hiện dự án;</w:t>
      </w:r>
    </w:p>
    <w:p w:rsidR="00496BB8" w:rsidRDefault="00496BB8" w:rsidP="0096109A">
      <w:pPr>
        <w:widowControl w:val="0"/>
        <w:spacing w:before="120" w:after="120" w:line="288" w:lineRule="auto"/>
        <w:ind w:firstLine="567"/>
        <w:jc w:val="both"/>
      </w:pPr>
      <w:r>
        <w:t xml:space="preserve">b) Do ảnh hưởng của sự cố thiên tai, hỏa hoạn và các yếu tố bất khả kháng khác khi đã hết thời gian bảo hiểm của dự án; </w:t>
      </w:r>
    </w:p>
    <w:p w:rsidR="00496BB8" w:rsidRDefault="00496BB8" w:rsidP="0096109A">
      <w:pPr>
        <w:widowControl w:val="0"/>
        <w:spacing w:before="120" w:after="120" w:line="288" w:lineRule="auto"/>
        <w:ind w:firstLine="567"/>
        <w:jc w:val="both"/>
      </w:pPr>
      <w:r>
        <w:t xml:space="preserve">c) Xuất hiện các yếu tố mang lại hiệu quả cao hơn về tài chính, kinh tế - xã hội do việc điều chỉnh dự án mang lại và được cơ quan có thẩm quyền thẩm định; </w:t>
      </w:r>
    </w:p>
    <w:p w:rsidR="00496BB8" w:rsidRDefault="00496BB8" w:rsidP="0096109A">
      <w:pPr>
        <w:widowControl w:val="0"/>
        <w:spacing w:before="120" w:after="120" w:line="288" w:lineRule="auto"/>
        <w:ind w:firstLine="567"/>
        <w:jc w:val="both"/>
      </w:pPr>
      <w:r>
        <w:t>d) Khi điều chỉnh quy hoạch ảnh hưởng trực tiếp tới dự án;</w:t>
      </w:r>
    </w:p>
    <w:p w:rsidR="00496BB8" w:rsidRDefault="00496BB8" w:rsidP="0096109A">
      <w:pPr>
        <w:widowControl w:val="0"/>
        <w:spacing w:before="120" w:after="120" w:line="288" w:lineRule="auto"/>
        <w:ind w:firstLine="567"/>
        <w:jc w:val="both"/>
      </w:pPr>
      <w:r>
        <w:t>đ) Khi chỉ số giá trong thời gian thực hiện dự án lớn hơn chỉ số giá được sử dụng để tính dự phòng trượt giá trong tổng mức đầu tư dự án được cấp có thẩm quyền quyết định</w:t>
      </w:r>
    </w:p>
    <w:p w:rsidR="00496BB8" w:rsidRDefault="00496BB8" w:rsidP="0096109A">
      <w:pPr>
        <w:widowControl w:val="0"/>
        <w:tabs>
          <w:tab w:val="left" w:pos="2780"/>
          <w:tab w:val="center" w:pos="4631"/>
        </w:tabs>
        <w:spacing w:before="120" w:after="120" w:line="288" w:lineRule="auto"/>
        <w:ind w:firstLine="567"/>
        <w:jc w:val="both"/>
      </w:pPr>
      <w:r w:rsidRPr="00496BB8">
        <w:rPr>
          <w:i/>
        </w:rPr>
        <w:t>Riêng đối với trường hợp điều chỉnh làm tăng tổng mức đầu tư dự án: Thủ tướng Chính phủ quyết định điều chỉnh dự án từ nhóm C hoặc B lên nhóm A. Giao Chính phủ hướng dẫn việc điều chỉnh tổng mức đầu tư dự án từ nhóm C lên nhóm B và điều chỉnh tăng tổng mức đầu tư nhưng không làm thay đổi phân loại dự án</w:t>
      </w:r>
      <w:r>
        <w:t>”.</w:t>
      </w:r>
    </w:p>
    <w:p w:rsidR="003A68E1" w:rsidRDefault="00243A9A" w:rsidP="0096109A">
      <w:pPr>
        <w:widowControl w:val="0"/>
        <w:tabs>
          <w:tab w:val="left" w:pos="2780"/>
          <w:tab w:val="center" w:pos="4631"/>
        </w:tabs>
        <w:spacing w:before="120" w:after="120" w:line="288" w:lineRule="auto"/>
        <w:ind w:firstLine="567"/>
        <w:jc w:val="both"/>
      </w:pPr>
      <w:r>
        <w:t>10</w:t>
      </w:r>
      <w:r w:rsidR="003A68E1">
        <w:t>. Khoản 1 Điều 55 được sửa đổi, bổ sung như sau:</w:t>
      </w:r>
    </w:p>
    <w:p w:rsidR="003A68E1" w:rsidRPr="00305A0D" w:rsidRDefault="003A68E1" w:rsidP="0096109A">
      <w:pPr>
        <w:widowControl w:val="0"/>
        <w:tabs>
          <w:tab w:val="left" w:pos="2780"/>
          <w:tab w:val="center" w:pos="4631"/>
        </w:tabs>
        <w:spacing w:before="120" w:after="120" w:line="288" w:lineRule="auto"/>
        <w:ind w:firstLine="567"/>
        <w:jc w:val="both"/>
      </w:pPr>
      <w:r>
        <w:t>“1. Đã được cấp có thẩm quyền quyết định chủ trương đầu tư (trừ dự án chuẩn bị đầu tư)”.</w:t>
      </w:r>
    </w:p>
    <w:p w:rsidR="00635CA1" w:rsidRPr="00003735" w:rsidRDefault="00022966" w:rsidP="0096109A">
      <w:pPr>
        <w:widowControl w:val="0"/>
        <w:spacing w:before="120" w:after="120" w:line="288" w:lineRule="auto"/>
        <w:ind w:firstLine="567"/>
        <w:jc w:val="both"/>
        <w:rPr>
          <w:bCs/>
          <w:lang w:val="sv-SE"/>
        </w:rPr>
      </w:pPr>
      <w:r>
        <w:rPr>
          <w:bCs/>
          <w:lang w:val="sv-SE"/>
        </w:rPr>
        <w:t>1</w:t>
      </w:r>
      <w:r w:rsidR="00243A9A">
        <w:rPr>
          <w:bCs/>
          <w:lang w:val="sv-SE"/>
        </w:rPr>
        <w:t>1</w:t>
      </w:r>
      <w:r w:rsidR="00635CA1" w:rsidRPr="00003735">
        <w:rPr>
          <w:bCs/>
          <w:lang w:val="sv-SE"/>
        </w:rPr>
        <w:t xml:space="preserve">. Khoản </w:t>
      </w:r>
      <w:r w:rsidR="00243A9A">
        <w:rPr>
          <w:bCs/>
          <w:lang w:val="sv-SE"/>
        </w:rPr>
        <w:t>6</w:t>
      </w:r>
      <w:r w:rsidR="00635CA1" w:rsidRPr="00003735">
        <w:rPr>
          <w:bCs/>
          <w:lang w:val="sv-SE"/>
        </w:rPr>
        <w:t xml:space="preserve"> Điều </w:t>
      </w:r>
      <w:r w:rsidR="00496BB8">
        <w:rPr>
          <w:bCs/>
          <w:lang w:val="sv-SE"/>
        </w:rPr>
        <w:t>5</w:t>
      </w:r>
      <w:r w:rsidR="00243A9A">
        <w:rPr>
          <w:bCs/>
          <w:lang w:val="sv-SE"/>
        </w:rPr>
        <w:t>8</w:t>
      </w:r>
      <w:r w:rsidR="00635CA1" w:rsidRPr="00003735">
        <w:rPr>
          <w:bCs/>
          <w:lang w:val="sv-SE"/>
        </w:rPr>
        <w:t xml:space="preserve"> được sửa đổi, bổ sung như sau:</w:t>
      </w:r>
    </w:p>
    <w:p w:rsidR="002D4B9B" w:rsidRDefault="00635CA1" w:rsidP="00243A9A">
      <w:pPr>
        <w:widowControl w:val="0"/>
        <w:tabs>
          <w:tab w:val="left" w:pos="720"/>
        </w:tabs>
        <w:spacing w:before="120" w:after="120" w:line="288" w:lineRule="auto"/>
        <w:ind w:firstLine="567"/>
        <w:jc w:val="both"/>
        <w:rPr>
          <w:i/>
          <w:lang w:val="nl-NL"/>
        </w:rPr>
      </w:pPr>
      <w:r w:rsidRPr="00003735">
        <w:rPr>
          <w:noProof w:val="0"/>
          <w:spacing w:val="-2"/>
          <w:lang w:val="sv-SE"/>
        </w:rPr>
        <w:t>“</w:t>
      </w:r>
      <w:r w:rsidRPr="00003735">
        <w:rPr>
          <w:noProof w:val="0"/>
          <w:spacing w:val="-2"/>
          <w:lang w:val="vi-VN"/>
        </w:rPr>
        <w:t xml:space="preserve">2. </w:t>
      </w:r>
      <w:r w:rsidR="00243A9A" w:rsidRPr="000E0920">
        <w:rPr>
          <w:i/>
          <w:lang w:val="nl-NL"/>
        </w:rPr>
        <w:t>Trước ngày 31 tháng 01 năm thứ năm của kế hoạch đầu tư công trung hạn, Chính phủ xác định khả năng cân đối ngân sách nhà nước cho chi đầu tư phát triển trong giai đoạn sau</w:t>
      </w:r>
      <w:r w:rsidR="002D4B9B">
        <w:rPr>
          <w:i/>
          <w:lang w:val="nl-NL"/>
        </w:rPr>
        <w:t>”.</w:t>
      </w:r>
    </w:p>
    <w:p w:rsidR="002D4B9B" w:rsidRPr="002D4B9B" w:rsidRDefault="002D4B9B" w:rsidP="00243A9A">
      <w:pPr>
        <w:widowControl w:val="0"/>
        <w:tabs>
          <w:tab w:val="left" w:pos="720"/>
        </w:tabs>
        <w:spacing w:before="120" w:after="120" w:line="288" w:lineRule="auto"/>
        <w:ind w:firstLine="567"/>
        <w:jc w:val="both"/>
        <w:rPr>
          <w:lang w:val="nl-NL"/>
        </w:rPr>
      </w:pPr>
      <w:r>
        <w:rPr>
          <w:lang w:val="nl-NL"/>
        </w:rPr>
        <w:t xml:space="preserve">12. Bãi bỏ quy định </w:t>
      </w:r>
      <w:r>
        <w:rPr>
          <w:lang w:val="nl-NL"/>
        </w:rPr>
        <w:t>Khoản 3,4,5,6,7,8,9 Điều 59 Luật Đầu tư công</w:t>
      </w:r>
      <w:r>
        <w:rPr>
          <w:lang w:val="nl-NL"/>
        </w:rPr>
        <w:t>.</w:t>
      </w:r>
    </w:p>
    <w:p w:rsidR="00635CA1" w:rsidRPr="00003735" w:rsidRDefault="002D4B9B" w:rsidP="00243A9A">
      <w:pPr>
        <w:widowControl w:val="0"/>
        <w:tabs>
          <w:tab w:val="left" w:pos="720"/>
        </w:tabs>
        <w:spacing w:before="120" w:after="120" w:line="288" w:lineRule="auto"/>
        <w:ind w:firstLine="567"/>
        <w:jc w:val="both"/>
        <w:rPr>
          <w:bCs/>
          <w:lang w:val="sv-SE"/>
        </w:rPr>
      </w:pPr>
      <w:r>
        <w:rPr>
          <w:bCs/>
        </w:rPr>
        <w:t>13</w:t>
      </w:r>
      <w:r w:rsidR="00635CA1" w:rsidRPr="00003735">
        <w:rPr>
          <w:bCs/>
          <w:lang w:val="vi-VN"/>
        </w:rPr>
        <w:t xml:space="preserve">. </w:t>
      </w:r>
      <w:r w:rsidR="00496BB8">
        <w:rPr>
          <w:bCs/>
        </w:rPr>
        <w:t xml:space="preserve">Điểm d </w:t>
      </w:r>
      <w:r w:rsidR="00496BB8">
        <w:rPr>
          <w:bCs/>
          <w:lang w:val="sv-SE"/>
        </w:rPr>
        <w:t>k</w:t>
      </w:r>
      <w:r w:rsidR="00635CA1" w:rsidRPr="00003735">
        <w:rPr>
          <w:bCs/>
          <w:lang w:val="sv-SE"/>
        </w:rPr>
        <w:t xml:space="preserve">hoản </w:t>
      </w:r>
      <w:r w:rsidR="00496BB8">
        <w:rPr>
          <w:bCs/>
          <w:lang w:val="sv-SE"/>
        </w:rPr>
        <w:t>3</w:t>
      </w:r>
      <w:r w:rsidR="00635CA1" w:rsidRPr="00003735">
        <w:rPr>
          <w:bCs/>
          <w:lang w:val="sv-SE"/>
        </w:rPr>
        <w:t xml:space="preserve"> </w:t>
      </w:r>
      <w:r w:rsidR="00496BB8">
        <w:rPr>
          <w:bCs/>
          <w:lang w:val="sv-SE"/>
        </w:rPr>
        <w:t>và điểm c khoản 4 Điều 75</w:t>
      </w:r>
      <w:r w:rsidR="00635CA1" w:rsidRPr="00003735">
        <w:rPr>
          <w:bCs/>
          <w:lang w:val="sv-SE"/>
        </w:rPr>
        <w:t xml:space="preserve"> được sửa đổi, bổ sung như </w:t>
      </w:r>
      <w:r w:rsidR="00635CA1" w:rsidRPr="00003735">
        <w:rPr>
          <w:bCs/>
          <w:lang w:val="sv-SE"/>
        </w:rPr>
        <w:lastRenderedPageBreak/>
        <w:t>sau:</w:t>
      </w:r>
    </w:p>
    <w:p w:rsidR="003A5894" w:rsidRDefault="00635CA1" w:rsidP="0096109A">
      <w:pPr>
        <w:pStyle w:val="ListParagraph"/>
        <w:widowControl w:val="0"/>
        <w:spacing w:before="120" w:after="120" w:line="288" w:lineRule="auto"/>
        <w:ind w:left="0" w:firstLine="567"/>
        <w:jc w:val="both"/>
        <w:rPr>
          <w:lang w:val="sv-SE"/>
        </w:rPr>
      </w:pPr>
      <w:r w:rsidRPr="002D4B9B">
        <w:rPr>
          <w:i/>
          <w:lang w:val="sv-SE"/>
        </w:rPr>
        <w:t>“</w:t>
      </w:r>
      <w:r w:rsidR="00496BB8" w:rsidRPr="002D4B9B">
        <w:rPr>
          <w:i/>
          <w:lang w:val="sv-SE"/>
        </w:rPr>
        <w:t>3</w:t>
      </w:r>
      <w:r w:rsidR="00496BB8">
        <w:rPr>
          <w:lang w:val="sv-SE"/>
        </w:rPr>
        <w:t>.</w:t>
      </w:r>
      <w:r w:rsidR="003A5894">
        <w:rPr>
          <w:lang w:val="sv-SE"/>
        </w:rPr>
        <w:t xml:space="preserve"> Thủ tướng Chính phủ căn cứ tình hình cụ thể trong kỳ kế hoạch quyết định điều chỉnh:</w:t>
      </w:r>
    </w:p>
    <w:p w:rsidR="00635CA1" w:rsidRDefault="003A5894" w:rsidP="0096109A">
      <w:pPr>
        <w:pStyle w:val="ListParagraph"/>
        <w:widowControl w:val="0"/>
        <w:spacing w:before="120" w:after="120" w:line="288" w:lineRule="auto"/>
        <w:ind w:left="0" w:firstLine="567"/>
        <w:jc w:val="both"/>
        <w:rPr>
          <w:lang w:val="sv-SE" w:eastAsia="vi-VN"/>
        </w:rPr>
      </w:pPr>
      <w:r>
        <w:rPr>
          <w:lang w:val="sv-SE" w:eastAsia="vi-VN"/>
        </w:rPr>
        <w:t xml:space="preserve">d) </w:t>
      </w:r>
      <w:r w:rsidR="00635CA1" w:rsidRPr="00003735">
        <w:rPr>
          <w:lang w:val="sv-SE" w:eastAsia="vi-VN"/>
        </w:rPr>
        <w:t xml:space="preserve"> </w:t>
      </w:r>
      <w:r w:rsidR="00496BB8">
        <w:rPr>
          <w:lang w:val="sv-SE" w:eastAsia="vi-VN"/>
        </w:rPr>
        <w:t>Kế hoạch</w:t>
      </w:r>
      <w:r>
        <w:rPr>
          <w:lang w:val="sv-SE" w:eastAsia="vi-VN"/>
        </w:rPr>
        <w:t xml:space="preserve"> đầu tư trung hạn đối với chương trình, dự án sử dụng vốn ODA và vốn vay ưu đãi của nhà tài trợ nước ngoài trong nội bộ các cơ quan chủ quản.</w:t>
      </w:r>
    </w:p>
    <w:p w:rsidR="003A5894" w:rsidRPr="002D4B9B" w:rsidRDefault="003A5894" w:rsidP="0096109A">
      <w:pPr>
        <w:pStyle w:val="ListParagraph"/>
        <w:widowControl w:val="0"/>
        <w:spacing w:before="120" w:after="120" w:line="288" w:lineRule="auto"/>
        <w:ind w:left="0" w:firstLine="567"/>
        <w:jc w:val="both"/>
        <w:rPr>
          <w:i/>
          <w:lang w:val="sv-SE" w:eastAsia="vi-VN"/>
        </w:rPr>
      </w:pPr>
      <w:r w:rsidRPr="002D4B9B">
        <w:rPr>
          <w:i/>
          <w:lang w:val="sv-SE" w:eastAsia="vi-VN"/>
        </w:rPr>
        <w:t>4. Bộ Kế hoạch và Đầu tư:</w:t>
      </w:r>
    </w:p>
    <w:p w:rsidR="002D4B9B" w:rsidRDefault="003A5894" w:rsidP="0096109A">
      <w:pPr>
        <w:pStyle w:val="ListParagraph"/>
        <w:widowControl w:val="0"/>
        <w:spacing w:before="120" w:after="120" w:line="288" w:lineRule="auto"/>
        <w:ind w:left="0" w:firstLine="567"/>
        <w:jc w:val="both"/>
        <w:rPr>
          <w:lang w:val="sv-SE" w:eastAsia="vi-VN"/>
        </w:rPr>
      </w:pPr>
      <w:r>
        <w:rPr>
          <w:lang w:val="sv-SE" w:eastAsia="vi-VN"/>
        </w:rPr>
        <w:t>c) Điều chỉnh kế hoạch đầu tư hằng năm vốn ngân sách trung ương</w:t>
      </w:r>
      <w:r w:rsidR="002D4B9B">
        <w:rPr>
          <w:lang w:val="sv-SE" w:eastAsia="vi-VN"/>
        </w:rPr>
        <w:t xml:space="preserve"> (vốn trong nước), </w:t>
      </w:r>
      <w:r>
        <w:rPr>
          <w:lang w:val="sv-SE" w:eastAsia="vi-VN"/>
        </w:rPr>
        <w:t xml:space="preserve">vốn công trái quốc gia </w:t>
      </w:r>
      <w:r w:rsidR="002D4B9B">
        <w:rPr>
          <w:lang w:val="sv-SE" w:eastAsia="vi-VN"/>
        </w:rPr>
        <w:t>và vốn trái phiếu Chính phủ giữa</w:t>
      </w:r>
      <w:r>
        <w:rPr>
          <w:lang w:val="sv-SE" w:eastAsia="vi-VN"/>
        </w:rPr>
        <w:t xml:space="preserve"> các ngành, lĩnh vực, chương trình của các bộ, ngành và địa phương nhưng không được vượt quá tổng mức vốn kế hoạch đầu tư trung hạn của từng dự án đã được cấp có thẩm quyền quyết định</w:t>
      </w:r>
      <w:r w:rsidR="002D4B9B">
        <w:rPr>
          <w:lang w:val="sv-SE" w:eastAsia="vi-VN"/>
        </w:rPr>
        <w:t xml:space="preserve">. </w:t>
      </w:r>
    </w:p>
    <w:p w:rsidR="002D4B9B" w:rsidRDefault="002D4B9B" w:rsidP="0096109A">
      <w:pPr>
        <w:pStyle w:val="ListParagraph"/>
        <w:widowControl w:val="0"/>
        <w:spacing w:before="120" w:after="120" w:line="288" w:lineRule="auto"/>
        <w:ind w:left="0" w:firstLine="567"/>
        <w:jc w:val="both"/>
        <w:rPr>
          <w:lang w:val="sv-SE" w:eastAsia="vi-VN"/>
        </w:rPr>
      </w:pPr>
      <w:r>
        <w:rPr>
          <w:lang w:val="sv-SE" w:eastAsia="vi-VN"/>
        </w:rPr>
        <w:t>d) Điều chỉnh kế hoạch đầu tư hằng năm đối với chương trình, dự án sử dụng vốn ODA và vốn vay ưu đãi của các nhà tài trợ nước ngoài trong nội bộ các cơ quan chủ quản.</w:t>
      </w:r>
    </w:p>
    <w:p w:rsidR="003A5894" w:rsidRDefault="002D4B9B" w:rsidP="0096109A">
      <w:pPr>
        <w:pStyle w:val="ListParagraph"/>
        <w:widowControl w:val="0"/>
        <w:spacing w:before="120" w:after="120" w:line="288" w:lineRule="auto"/>
        <w:ind w:left="0" w:firstLine="567"/>
        <w:jc w:val="both"/>
        <w:rPr>
          <w:lang w:val="sv-SE" w:eastAsia="vi-VN"/>
        </w:rPr>
      </w:pPr>
      <w:r>
        <w:rPr>
          <w:lang w:val="sv-SE" w:eastAsia="vi-VN"/>
        </w:rPr>
        <w:t xml:space="preserve">Trước ngày 31 tháng 3 hằng năm, Bộ Kế hoạch và Đầu tư tổng hợp, báo cáo Thủ tướng Chính phủ việc điều chỉnh kế hoạch đầu tư năm trước của các bộ, ngành và địa phương </w:t>
      </w:r>
      <w:r w:rsidR="003A5894">
        <w:rPr>
          <w:lang w:val="sv-SE" w:eastAsia="vi-VN"/>
        </w:rPr>
        <w:t>”.</w:t>
      </w:r>
    </w:p>
    <w:p w:rsidR="002D4B9B" w:rsidRDefault="002D4B9B" w:rsidP="0096109A">
      <w:pPr>
        <w:pStyle w:val="ListParagraph"/>
        <w:widowControl w:val="0"/>
        <w:spacing w:before="120" w:after="120" w:line="288" w:lineRule="auto"/>
        <w:ind w:left="0" w:firstLine="567"/>
        <w:jc w:val="both"/>
        <w:rPr>
          <w:lang w:val="sv-SE" w:eastAsia="vi-VN"/>
        </w:rPr>
      </w:pPr>
      <w:r>
        <w:rPr>
          <w:lang w:val="sv-SE" w:eastAsia="vi-VN"/>
        </w:rPr>
        <w:t>14. Bổ sung quy định Điều 76 như sau:</w:t>
      </w:r>
    </w:p>
    <w:p w:rsidR="002D4B9B" w:rsidRDefault="002D4B9B" w:rsidP="0096109A">
      <w:pPr>
        <w:pStyle w:val="ListParagraph"/>
        <w:widowControl w:val="0"/>
        <w:spacing w:before="120" w:after="120" w:line="288" w:lineRule="auto"/>
        <w:ind w:left="0" w:firstLine="567"/>
        <w:jc w:val="both"/>
        <w:rPr>
          <w:lang w:val="sv-SE" w:eastAsia="vi-VN"/>
        </w:rPr>
      </w:pPr>
      <w:r w:rsidRPr="00003735">
        <w:rPr>
          <w:lang w:val="sv-SE"/>
        </w:rPr>
        <w:t>“</w:t>
      </w:r>
      <w:r>
        <w:t>C</w:t>
      </w:r>
      <w:r>
        <w:t>ác bộ, ngành và địa phương chủ động điều chỉnh kế hoạch đầu tư hằng năm vốn ngân sách trung ương (vốn trong nước), vốn công trái quốc gia và vốn trái phiếu Chính phủ trong nội bộ các ngành, lĩnh vực, chương trình của các bộ, ngành và địa phương, gửi Bộ Kế hoạch và Đầu tư, Bộ Tài chính. Trường hợp phát hiện việc điều chỉnh không đúng tổng mức vốn theo ngành, lĩnh vực, chương trình, không đúng chế độ quy định, Bộ Kế hoạch và Đầu tư yêu cầu bộ, ngành và địa phương điều chỉnh lại chậm nhất sau 10 ngày làm việc, kể từ ngày nhận được báo cáo điều chỉnh kế hoạch nội bộ trong cùng ngành, lĩnh vực, chương trình của bộ, ngành và địa phương</w:t>
      </w:r>
      <w:r>
        <w:t>.”</w:t>
      </w:r>
    </w:p>
    <w:p w:rsidR="003A5894" w:rsidRDefault="00C35C85" w:rsidP="0096109A">
      <w:pPr>
        <w:pStyle w:val="ListParagraph"/>
        <w:widowControl w:val="0"/>
        <w:spacing w:before="120" w:after="120" w:line="288" w:lineRule="auto"/>
        <w:ind w:left="0" w:firstLine="567"/>
        <w:jc w:val="both"/>
        <w:rPr>
          <w:lang w:val="sv-SE" w:eastAsia="vi-VN"/>
        </w:rPr>
      </w:pPr>
      <w:r>
        <w:rPr>
          <w:lang w:val="sv-SE" w:eastAsia="vi-VN"/>
        </w:rPr>
        <w:t>1</w:t>
      </w:r>
      <w:r w:rsidR="001333CC">
        <w:rPr>
          <w:lang w:val="sv-SE" w:eastAsia="vi-VN"/>
        </w:rPr>
        <w:t>5</w:t>
      </w:r>
      <w:r w:rsidR="003A5894">
        <w:rPr>
          <w:lang w:val="sv-SE" w:eastAsia="vi-VN"/>
        </w:rPr>
        <w:t>. Điểm b khoản 1 Điều 76 sửa đổi, bổ sung như sau:</w:t>
      </w:r>
    </w:p>
    <w:p w:rsidR="001333CC" w:rsidRDefault="001333CC" w:rsidP="0096109A">
      <w:pPr>
        <w:pStyle w:val="ListParagraph"/>
        <w:widowControl w:val="0"/>
        <w:spacing w:before="120" w:after="120" w:line="288" w:lineRule="auto"/>
        <w:ind w:left="0" w:firstLine="567"/>
        <w:jc w:val="both"/>
        <w:rPr>
          <w:lang w:val="sv-SE" w:eastAsia="vi-VN"/>
        </w:rPr>
      </w:pPr>
      <w:r>
        <w:rPr>
          <w:lang w:val="sv-SE" w:eastAsia="vi-VN"/>
        </w:rPr>
        <w:t>Phương án 1:</w:t>
      </w:r>
    </w:p>
    <w:p w:rsidR="003A5894" w:rsidRDefault="003A68E1" w:rsidP="0096109A">
      <w:pPr>
        <w:pStyle w:val="ListParagraph"/>
        <w:widowControl w:val="0"/>
        <w:spacing w:before="120" w:after="120" w:line="288" w:lineRule="auto"/>
        <w:ind w:left="0" w:firstLine="567"/>
        <w:jc w:val="both"/>
        <w:rPr>
          <w:lang w:val="sv-SE" w:eastAsia="vi-VN"/>
        </w:rPr>
      </w:pPr>
      <w:r w:rsidRPr="00003735">
        <w:rPr>
          <w:lang w:val="pt-BR"/>
        </w:rPr>
        <w:t>“</w:t>
      </w:r>
      <w:r w:rsidR="003A5894">
        <w:rPr>
          <w:lang w:val="sv-SE" w:eastAsia="vi-VN"/>
        </w:rPr>
        <w:t>1.</w:t>
      </w:r>
      <w:r>
        <w:rPr>
          <w:lang w:val="sv-SE" w:eastAsia="vi-VN"/>
        </w:rPr>
        <w:t xml:space="preserve"> Đối với dự án sử dụng vốn ngân sách nhà nước, vốn công trái quốc gia, vốn trái phiếu Chính phủ, vốn trái phiếu chính quyền địa phương, vốn từ nguồn thu để lại cho đầu tư nhưng chưa đưa vào cân đối ngân sách nhà nước:</w:t>
      </w:r>
    </w:p>
    <w:p w:rsidR="003A68E1" w:rsidRDefault="003A68E1" w:rsidP="0096109A">
      <w:pPr>
        <w:pStyle w:val="ListParagraph"/>
        <w:widowControl w:val="0"/>
        <w:spacing w:before="120" w:after="120" w:line="288" w:lineRule="auto"/>
        <w:ind w:left="0" w:firstLine="567"/>
        <w:jc w:val="both"/>
      </w:pPr>
      <w:r>
        <w:rPr>
          <w:lang w:val="sv-SE" w:eastAsia="vi-VN"/>
        </w:rPr>
        <w:t xml:space="preserve">b) </w:t>
      </w:r>
      <w:r w:rsidRPr="002434AE">
        <w:t xml:space="preserve">Thời gian giải ngân vốn kế hoạch đầu tư công hằng năm được kéo dài đến ngày 31 tháng 01 năm sau. Trường hợp đặc biệt, được cấp có thẩm quyền cho phép thì được kéo dài thời gian giải ngân nhưng không quá kế hoạch đầu </w:t>
      </w:r>
      <w:r w:rsidRPr="002434AE">
        <w:lastRenderedPageBreak/>
        <w:t>tư công trung hạn</w:t>
      </w:r>
      <w:r>
        <w:t>.”</w:t>
      </w:r>
    </w:p>
    <w:p w:rsidR="001333CC" w:rsidRDefault="001333CC" w:rsidP="0096109A">
      <w:pPr>
        <w:pStyle w:val="ListParagraph"/>
        <w:widowControl w:val="0"/>
        <w:spacing w:before="120" w:after="120" w:line="288" w:lineRule="auto"/>
        <w:ind w:left="0" w:firstLine="567"/>
        <w:jc w:val="both"/>
      </w:pPr>
      <w:r>
        <w:t xml:space="preserve">Phương án 2: </w:t>
      </w:r>
    </w:p>
    <w:p w:rsidR="001333CC" w:rsidRDefault="001333CC" w:rsidP="001333CC">
      <w:pPr>
        <w:pStyle w:val="ListParagraph"/>
        <w:widowControl w:val="0"/>
        <w:spacing w:before="120" w:after="120" w:line="288" w:lineRule="auto"/>
        <w:ind w:left="0" w:firstLine="567"/>
        <w:jc w:val="both"/>
        <w:rPr>
          <w:lang w:val="sv-SE" w:eastAsia="vi-VN"/>
        </w:rPr>
      </w:pPr>
      <w:r w:rsidRPr="00003735">
        <w:rPr>
          <w:lang w:val="pt-BR"/>
        </w:rPr>
        <w:t>“</w:t>
      </w:r>
      <w:r>
        <w:rPr>
          <w:lang w:val="sv-SE" w:eastAsia="vi-VN"/>
        </w:rPr>
        <w:t>1. Đối với dự án sử dụng vốn ngân sách nhà nước, vốn công trái quốc gia, vốn trái phiếu Chính phủ, vốn trái phiếu chính quyền địa phương, vốn từ nguồn thu để lại cho đầu tư nhưng chưa đưa vào cân đối ngân sách nhà nước:</w:t>
      </w:r>
    </w:p>
    <w:p w:rsidR="001333CC" w:rsidRDefault="001333CC" w:rsidP="0096109A">
      <w:pPr>
        <w:pStyle w:val="ListParagraph"/>
        <w:widowControl w:val="0"/>
        <w:spacing w:before="120" w:after="120" w:line="288" w:lineRule="auto"/>
        <w:ind w:left="0" w:firstLine="567"/>
        <w:jc w:val="both"/>
      </w:pPr>
      <w:r>
        <w:t xml:space="preserve">b) Thời gian giải ngân vốn kế hoạch đầu tư công hằng năm được kéo dài sang năm sau (trừ vốn kế hoạch bố trí cho các dự án đến ngày 31 tháng 12 năm kế hoạch giải ngân dưới 50% kế hoạch được giao). Trường hợp đặc biệt, </w:t>
      </w:r>
      <w:r w:rsidRPr="002434AE">
        <w:t>được cấp có thẩm quyền cho phép thì được kéo dài thời gian giải ngân nhưng không quá kế hoạch đầu tư công trung hạn</w:t>
      </w:r>
      <w:r>
        <w:t>.</w:t>
      </w:r>
    </w:p>
    <w:p w:rsidR="003A68E1" w:rsidRDefault="003A68E1" w:rsidP="0096109A">
      <w:pPr>
        <w:pStyle w:val="ListParagraph"/>
        <w:widowControl w:val="0"/>
        <w:spacing w:before="120" w:after="120" w:line="288" w:lineRule="auto"/>
        <w:ind w:left="0" w:firstLine="567"/>
        <w:jc w:val="both"/>
      </w:pPr>
      <w:r>
        <w:t>1</w:t>
      </w:r>
      <w:r w:rsidR="001333CC">
        <w:t>6</w:t>
      </w:r>
      <w:r>
        <w:t>. Bãi bỏ điểm b khoản 2 Điều 76 Luật Đầu tư công.</w:t>
      </w:r>
    </w:p>
    <w:p w:rsidR="001333CC" w:rsidRDefault="001333CC" w:rsidP="0096109A">
      <w:pPr>
        <w:pStyle w:val="ListParagraph"/>
        <w:widowControl w:val="0"/>
        <w:spacing w:before="120" w:after="120" w:line="288" w:lineRule="auto"/>
        <w:ind w:left="0" w:firstLine="567"/>
        <w:jc w:val="both"/>
      </w:pPr>
      <w:r>
        <w:t>17. Bổ sung quy định tại khoản 1 Điều 91 Luật Đầu tư công</w:t>
      </w:r>
    </w:p>
    <w:p w:rsidR="001333CC" w:rsidRDefault="001333CC" w:rsidP="0096109A">
      <w:pPr>
        <w:pStyle w:val="ListParagraph"/>
        <w:widowControl w:val="0"/>
        <w:spacing w:before="120" w:after="120" w:line="288" w:lineRule="auto"/>
        <w:ind w:left="0" w:firstLine="567"/>
        <w:jc w:val="both"/>
      </w:pPr>
      <w:r>
        <w:t>“</w:t>
      </w:r>
      <w:r>
        <w:rPr>
          <w:bCs/>
          <w:lang w:val="nl-NL"/>
        </w:rPr>
        <w:t>Ủy quyền cho Thường trực Hội đồng nhân dân cùng cấp xem xét, cho ý kiến, quyết định chủ trương đầu tư dự án sử dụng vốn đầu tư công thuộc cấp mình quản lý theo quy định tại Điểm b và Điểm c Khoản này</w:t>
      </w:r>
      <w:r>
        <w:rPr>
          <w:bCs/>
          <w:lang w:val="nl-NL"/>
        </w:rPr>
        <w:t>.”</w:t>
      </w:r>
      <w:bookmarkStart w:id="0" w:name="_GoBack"/>
      <w:bookmarkEnd w:id="0"/>
    </w:p>
    <w:p w:rsidR="00C35C85" w:rsidRPr="00003735" w:rsidRDefault="00C35C85" w:rsidP="0096109A">
      <w:pPr>
        <w:widowControl w:val="0"/>
        <w:spacing w:before="120" w:after="120" w:line="288" w:lineRule="auto"/>
        <w:ind w:firstLine="567"/>
        <w:jc w:val="both"/>
        <w:rPr>
          <w:bCs/>
          <w:lang w:val="sv-SE"/>
        </w:rPr>
      </w:pPr>
      <w:r>
        <w:rPr>
          <w:bCs/>
          <w:lang w:val="sv-SE"/>
        </w:rPr>
        <w:t>1</w:t>
      </w:r>
      <w:r w:rsidR="001333CC">
        <w:rPr>
          <w:bCs/>
          <w:lang w:val="sv-SE"/>
        </w:rPr>
        <w:t>8</w:t>
      </w:r>
      <w:r w:rsidRPr="00003735">
        <w:rPr>
          <w:bCs/>
          <w:lang w:val="sv-SE"/>
        </w:rPr>
        <w:t xml:space="preserve">. Khoản </w:t>
      </w:r>
      <w:r>
        <w:rPr>
          <w:bCs/>
          <w:lang w:val="sv-SE"/>
        </w:rPr>
        <w:t xml:space="preserve">3 </w:t>
      </w:r>
      <w:r w:rsidRPr="00003735">
        <w:rPr>
          <w:bCs/>
          <w:lang w:val="sv-SE"/>
        </w:rPr>
        <w:t xml:space="preserve">Điều </w:t>
      </w:r>
      <w:r>
        <w:rPr>
          <w:bCs/>
          <w:lang w:val="sv-SE"/>
        </w:rPr>
        <w:t>92</w:t>
      </w:r>
      <w:r w:rsidRPr="00003735">
        <w:rPr>
          <w:bCs/>
          <w:lang w:val="sv-SE"/>
        </w:rPr>
        <w:t xml:space="preserve"> được sửa đổi, bổ sung như sau:</w:t>
      </w:r>
    </w:p>
    <w:p w:rsidR="00C35C85" w:rsidRPr="0098234C" w:rsidRDefault="00C35C85" w:rsidP="0096109A">
      <w:pPr>
        <w:widowControl w:val="0"/>
        <w:tabs>
          <w:tab w:val="left" w:pos="720"/>
        </w:tabs>
        <w:spacing w:before="120" w:after="120" w:line="288" w:lineRule="auto"/>
        <w:ind w:firstLine="567"/>
        <w:jc w:val="both"/>
      </w:pPr>
      <w:r w:rsidRPr="00003735">
        <w:rPr>
          <w:lang w:val="sv-SE"/>
        </w:rPr>
        <w:t>“</w:t>
      </w:r>
      <w:r>
        <w:rPr>
          <w:lang w:val="sv-SE"/>
        </w:rPr>
        <w:t xml:space="preserve">3. Quyết định chủ trương đầu tư dự án theo quy định tại khoản 6 Điều 17 của Luật này và quyết định đầu tư chương trình, dự án theo quy định tại khoản 3 Điều 39 của Luật này, </w:t>
      </w:r>
      <w:r w:rsidRPr="0098234C">
        <w:rPr>
          <w:i/>
          <w:lang w:val="sv-SE"/>
        </w:rPr>
        <w:t>được phân cấp hoặc ủy quyền quyết định đầu tư đối với các dự án nhóm B, nhóm C do cấp tỉnh quản lý (trừ dự án quy định tại điểm c khoản 1 Điều 39 Luật Đầu tư công) cho cơ quan cấp dưới</w:t>
      </w:r>
      <w:r w:rsidRPr="00003735">
        <w:rPr>
          <w:lang w:val="vi-VN"/>
        </w:rPr>
        <w:t>”</w:t>
      </w:r>
      <w:r>
        <w:t>.</w:t>
      </w:r>
    </w:p>
    <w:p w:rsidR="007B7759" w:rsidRPr="00003735" w:rsidRDefault="007B7759" w:rsidP="0096109A">
      <w:pPr>
        <w:spacing w:before="120" w:after="120" w:line="288" w:lineRule="auto"/>
        <w:ind w:firstLine="567"/>
        <w:jc w:val="both"/>
        <w:rPr>
          <w:b/>
          <w:lang w:val="am-ET"/>
        </w:rPr>
      </w:pPr>
      <w:r w:rsidRPr="00003735">
        <w:rPr>
          <w:b/>
          <w:lang w:val="am-ET"/>
        </w:rPr>
        <w:t xml:space="preserve">Điều </w:t>
      </w:r>
      <w:r w:rsidR="00C35C85">
        <w:rPr>
          <w:b/>
        </w:rPr>
        <w:t>2</w:t>
      </w:r>
      <w:r w:rsidR="00F25D0B" w:rsidRPr="00003735">
        <w:rPr>
          <w:b/>
          <w:lang w:val="sv-SE"/>
        </w:rPr>
        <w:t>.</w:t>
      </w:r>
      <w:r w:rsidRPr="00003735">
        <w:rPr>
          <w:b/>
          <w:lang w:val="am-ET"/>
        </w:rPr>
        <w:t xml:space="preserve"> Điều khoản thi hành</w:t>
      </w:r>
    </w:p>
    <w:p w:rsidR="00C35C85" w:rsidRDefault="00C96A88" w:rsidP="0096109A">
      <w:pPr>
        <w:tabs>
          <w:tab w:val="left" w:pos="5586"/>
          <w:tab w:val="right" w:pos="9074"/>
        </w:tabs>
        <w:spacing w:before="120" w:after="120" w:line="288" w:lineRule="auto"/>
        <w:ind w:firstLine="567"/>
        <w:jc w:val="both"/>
      </w:pPr>
      <w:r w:rsidRPr="00003735">
        <w:rPr>
          <w:lang w:val="am-ET"/>
        </w:rPr>
        <w:t>1. Luật này có hiệu lực thi hàn</w:t>
      </w:r>
      <w:r w:rsidR="00C35C85">
        <w:rPr>
          <w:lang w:val="am-ET"/>
        </w:rPr>
        <w:t xml:space="preserve">h từ ngày </w:t>
      </w:r>
      <w:r w:rsidR="00C35C85">
        <w:t xml:space="preserve">       </w:t>
      </w:r>
      <w:r w:rsidR="00C35C85">
        <w:rPr>
          <w:lang w:val="am-ET"/>
        </w:rPr>
        <w:t xml:space="preserve"> tháng </w:t>
      </w:r>
      <w:r w:rsidR="00C35C85">
        <w:t xml:space="preserve">     </w:t>
      </w:r>
      <w:r w:rsidR="00C35C85">
        <w:rPr>
          <w:lang w:val="am-ET"/>
        </w:rPr>
        <w:t>năm 2019</w:t>
      </w:r>
      <w:r w:rsidR="00C35C85">
        <w:t>.</w:t>
      </w:r>
    </w:p>
    <w:p w:rsidR="007B7759" w:rsidRPr="00003735" w:rsidRDefault="00C35C85" w:rsidP="0096109A">
      <w:pPr>
        <w:tabs>
          <w:tab w:val="left" w:pos="5586"/>
          <w:tab w:val="right" w:pos="9074"/>
        </w:tabs>
        <w:spacing w:before="120" w:after="120" w:line="288" w:lineRule="auto"/>
        <w:ind w:firstLine="567"/>
        <w:jc w:val="both"/>
        <w:rPr>
          <w:lang w:val="am-ET"/>
        </w:rPr>
      </w:pPr>
      <w:r>
        <w:rPr>
          <w:lang w:val="nl-NL"/>
        </w:rPr>
        <w:t>2</w:t>
      </w:r>
      <w:r w:rsidR="00C03A5E" w:rsidRPr="00003735">
        <w:rPr>
          <w:lang w:val="nl-NL"/>
        </w:rPr>
        <w:t xml:space="preserve">. </w:t>
      </w:r>
      <w:r w:rsidR="007B7759" w:rsidRPr="00003735">
        <w:rPr>
          <w:lang w:val="am-ET"/>
        </w:rPr>
        <w:t>Chính phủ quy định chi tiết các điều, khoản được giao trong Luật.</w:t>
      </w:r>
    </w:p>
    <w:p w:rsidR="007B7759" w:rsidRPr="00003735" w:rsidRDefault="002A347B" w:rsidP="0096109A">
      <w:pPr>
        <w:spacing w:before="120" w:after="120" w:line="288" w:lineRule="auto"/>
        <w:ind w:firstLine="567"/>
        <w:jc w:val="both"/>
        <w:rPr>
          <w:lang w:val="am-ET"/>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70485</wp:posOffset>
                </wp:positionV>
                <wp:extent cx="5722620" cy="3810"/>
                <wp:effectExtent l="5715" t="13335" r="571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450.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jhFgIAACs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"/>
            </w:pict>
          </mc:Fallback>
        </mc:AlternateContent>
      </w:r>
    </w:p>
    <w:p w:rsidR="007B7759" w:rsidRPr="00003735" w:rsidRDefault="007B7759" w:rsidP="0096109A">
      <w:pPr>
        <w:spacing w:before="120" w:after="120" w:line="288" w:lineRule="auto"/>
        <w:ind w:firstLine="567"/>
        <w:jc w:val="both"/>
        <w:rPr>
          <w:i/>
          <w:lang w:val="am-ET"/>
        </w:rPr>
      </w:pPr>
      <w:r w:rsidRPr="00003735">
        <w:rPr>
          <w:i/>
          <w:lang w:val="am-ET"/>
        </w:rPr>
        <w:t>Luật này đã được Quốc hội nước Cộng hoà xã hội chủ nghĩa Việt Nam khoá XIV, kỳ họp thứ 2 thông qua ngày      tháng     năm 2017.</w:t>
      </w:r>
    </w:p>
    <w:p w:rsidR="007B7759" w:rsidRPr="00003735" w:rsidRDefault="007B7759" w:rsidP="007B7759">
      <w:pPr>
        <w:spacing w:before="120" w:after="120"/>
        <w:jc w:val="center"/>
        <w:rPr>
          <w:b/>
          <w:lang w:val="am-ET"/>
        </w:rPr>
      </w:pPr>
      <w:r w:rsidRPr="00003735">
        <w:rPr>
          <w:b/>
          <w:lang w:val="am-ET"/>
        </w:rPr>
        <w:t xml:space="preserve">                                                                     CHỦ TỊCH QUỐC HỘI</w:t>
      </w:r>
    </w:p>
    <w:p w:rsidR="007B7759" w:rsidRPr="00003735" w:rsidRDefault="007B7759" w:rsidP="007B7759">
      <w:pPr>
        <w:spacing w:before="120" w:after="120"/>
        <w:ind w:left="4512"/>
        <w:jc w:val="center"/>
        <w:rPr>
          <w:b/>
          <w:lang w:val="am-ET"/>
        </w:rPr>
      </w:pPr>
    </w:p>
    <w:p w:rsidR="007B7759" w:rsidRPr="00003735" w:rsidRDefault="007B7759" w:rsidP="007B7759">
      <w:pPr>
        <w:spacing w:before="120" w:after="120"/>
        <w:ind w:left="4512"/>
        <w:jc w:val="center"/>
        <w:rPr>
          <w:b/>
        </w:rPr>
      </w:pPr>
    </w:p>
    <w:p w:rsidR="001E0B56" w:rsidRPr="00003735" w:rsidRDefault="001E0B56" w:rsidP="007B7759">
      <w:pPr>
        <w:spacing w:before="120" w:after="120"/>
        <w:ind w:left="4512"/>
        <w:jc w:val="center"/>
        <w:rPr>
          <w:b/>
        </w:rPr>
      </w:pPr>
    </w:p>
    <w:p w:rsidR="001E0B56" w:rsidRPr="00003735" w:rsidRDefault="001E0B56" w:rsidP="007B7759">
      <w:pPr>
        <w:spacing w:before="120" w:after="120"/>
        <w:ind w:left="4512"/>
        <w:jc w:val="center"/>
        <w:rPr>
          <w:b/>
        </w:rPr>
      </w:pPr>
    </w:p>
    <w:p w:rsidR="007B7759" w:rsidRPr="00003735" w:rsidRDefault="007B7759" w:rsidP="007B7759">
      <w:pPr>
        <w:spacing w:before="120" w:after="120"/>
        <w:jc w:val="center"/>
        <w:rPr>
          <w:b/>
        </w:rPr>
      </w:pPr>
      <w:r w:rsidRPr="00003735">
        <w:rPr>
          <w:b/>
          <w:lang w:val="am-ET"/>
        </w:rPr>
        <w:t xml:space="preserve">                                                                     </w:t>
      </w:r>
    </w:p>
    <w:p w:rsidR="007B7759" w:rsidRPr="00003735" w:rsidRDefault="007B7759" w:rsidP="007B7759">
      <w:pPr>
        <w:spacing w:before="120" w:after="120"/>
        <w:jc w:val="center"/>
        <w:rPr>
          <w:b/>
        </w:rPr>
      </w:pPr>
    </w:p>
    <w:p w:rsidR="007B7759" w:rsidRPr="00003735" w:rsidRDefault="007B7759" w:rsidP="007B7759">
      <w:pPr>
        <w:spacing w:before="120" w:after="120"/>
        <w:jc w:val="center"/>
      </w:pPr>
    </w:p>
    <w:p w:rsidR="0050078C" w:rsidRPr="00003735" w:rsidRDefault="0050078C" w:rsidP="000A7734">
      <w:pPr>
        <w:spacing w:before="120" w:after="120"/>
        <w:ind w:firstLine="701"/>
        <w:jc w:val="both"/>
        <w:rPr>
          <w:lang w:val="am-ET"/>
        </w:rPr>
      </w:pPr>
    </w:p>
    <w:sectPr w:rsidR="0050078C" w:rsidRPr="00003735" w:rsidSect="00297C37">
      <w:headerReference w:type="even" r:id="rId9"/>
      <w:footerReference w:type="even" r:id="rId10"/>
      <w:footerReference w:type="default" r:id="rId11"/>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AC" w:rsidRDefault="00190CAC">
      <w:r>
        <w:separator/>
      </w:r>
    </w:p>
  </w:endnote>
  <w:endnote w:type="continuationSeparator" w:id="0">
    <w:p w:rsidR="00190CAC" w:rsidRDefault="0019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02" w:rsidRDefault="00DC7D02" w:rsidP="001170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D02" w:rsidRDefault="00DC7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02" w:rsidRDefault="00DC7D02">
    <w:pPr>
      <w:pStyle w:val="Footer"/>
      <w:jc w:val="right"/>
    </w:pPr>
    <w:r>
      <w:fldChar w:fldCharType="begin"/>
    </w:r>
    <w:r>
      <w:instrText xml:space="preserve"> PAGE   \* MERGEFORMAT </w:instrText>
    </w:r>
    <w:r>
      <w:fldChar w:fldCharType="separate"/>
    </w:r>
    <w:r w:rsidR="001333CC">
      <w:t>5</w:t>
    </w:r>
    <w:r>
      <w:fldChar w:fldCharType="end"/>
    </w:r>
  </w:p>
  <w:p w:rsidR="00DC7D02" w:rsidRDefault="00DC7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AC" w:rsidRDefault="00190CAC">
      <w:r>
        <w:separator/>
      </w:r>
    </w:p>
  </w:footnote>
  <w:footnote w:type="continuationSeparator" w:id="0">
    <w:p w:rsidR="00190CAC" w:rsidRDefault="0019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02" w:rsidRDefault="00DC7D02" w:rsidP="001170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D02" w:rsidRDefault="00DC7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A8"/>
    <w:rsid w:val="00003330"/>
    <w:rsid w:val="00003735"/>
    <w:rsid w:val="00014119"/>
    <w:rsid w:val="00014201"/>
    <w:rsid w:val="00014A83"/>
    <w:rsid w:val="00016321"/>
    <w:rsid w:val="00022966"/>
    <w:rsid w:val="000235C1"/>
    <w:rsid w:val="00027848"/>
    <w:rsid w:val="00030437"/>
    <w:rsid w:val="00031C7A"/>
    <w:rsid w:val="00033BAC"/>
    <w:rsid w:val="00034E7B"/>
    <w:rsid w:val="000401D4"/>
    <w:rsid w:val="00041F9F"/>
    <w:rsid w:val="000464EB"/>
    <w:rsid w:val="00050002"/>
    <w:rsid w:val="00051228"/>
    <w:rsid w:val="00053915"/>
    <w:rsid w:val="0006166D"/>
    <w:rsid w:val="000765FF"/>
    <w:rsid w:val="0008031C"/>
    <w:rsid w:val="000845A7"/>
    <w:rsid w:val="00086F6E"/>
    <w:rsid w:val="00087647"/>
    <w:rsid w:val="000916EC"/>
    <w:rsid w:val="0009402B"/>
    <w:rsid w:val="000A1A8D"/>
    <w:rsid w:val="000A3CFF"/>
    <w:rsid w:val="000A7734"/>
    <w:rsid w:val="000C176A"/>
    <w:rsid w:val="000C7570"/>
    <w:rsid w:val="000D0668"/>
    <w:rsid w:val="000D073B"/>
    <w:rsid w:val="000D44D6"/>
    <w:rsid w:val="000E3287"/>
    <w:rsid w:val="000E4767"/>
    <w:rsid w:val="000E707A"/>
    <w:rsid w:val="0010368F"/>
    <w:rsid w:val="00106EE7"/>
    <w:rsid w:val="0011022C"/>
    <w:rsid w:val="001170BA"/>
    <w:rsid w:val="001333CC"/>
    <w:rsid w:val="00140330"/>
    <w:rsid w:val="001433D9"/>
    <w:rsid w:val="00144FF5"/>
    <w:rsid w:val="00146AA8"/>
    <w:rsid w:val="001518B0"/>
    <w:rsid w:val="00153332"/>
    <w:rsid w:val="00167BD2"/>
    <w:rsid w:val="00172A4E"/>
    <w:rsid w:val="00181F11"/>
    <w:rsid w:val="00190CAC"/>
    <w:rsid w:val="0019208F"/>
    <w:rsid w:val="001A3776"/>
    <w:rsid w:val="001B3482"/>
    <w:rsid w:val="001B5653"/>
    <w:rsid w:val="001C2988"/>
    <w:rsid w:val="001C3877"/>
    <w:rsid w:val="001C4514"/>
    <w:rsid w:val="001C5509"/>
    <w:rsid w:val="001D0452"/>
    <w:rsid w:val="001D17A9"/>
    <w:rsid w:val="001D5E35"/>
    <w:rsid w:val="001E0B56"/>
    <w:rsid w:val="001E377E"/>
    <w:rsid w:val="001F7983"/>
    <w:rsid w:val="00202036"/>
    <w:rsid w:val="00204500"/>
    <w:rsid w:val="00205FE1"/>
    <w:rsid w:val="00211CC7"/>
    <w:rsid w:val="00215276"/>
    <w:rsid w:val="002171BF"/>
    <w:rsid w:val="00232949"/>
    <w:rsid w:val="0023439E"/>
    <w:rsid w:val="00243A9A"/>
    <w:rsid w:val="00245DCA"/>
    <w:rsid w:val="0024710D"/>
    <w:rsid w:val="002526A0"/>
    <w:rsid w:val="00260FB9"/>
    <w:rsid w:val="0026203D"/>
    <w:rsid w:val="00263B02"/>
    <w:rsid w:val="00266C42"/>
    <w:rsid w:val="002807FF"/>
    <w:rsid w:val="00281108"/>
    <w:rsid w:val="00281E84"/>
    <w:rsid w:val="00293242"/>
    <w:rsid w:val="00297C37"/>
    <w:rsid w:val="002A027C"/>
    <w:rsid w:val="002A0ACC"/>
    <w:rsid w:val="002A347B"/>
    <w:rsid w:val="002A7A95"/>
    <w:rsid w:val="002B351C"/>
    <w:rsid w:val="002B6150"/>
    <w:rsid w:val="002C62D6"/>
    <w:rsid w:val="002C7389"/>
    <w:rsid w:val="002D2C9D"/>
    <w:rsid w:val="002D3835"/>
    <w:rsid w:val="002D4B9B"/>
    <w:rsid w:val="002E1CBA"/>
    <w:rsid w:val="002F50F0"/>
    <w:rsid w:val="00302404"/>
    <w:rsid w:val="00310DDA"/>
    <w:rsid w:val="003153F4"/>
    <w:rsid w:val="00326B87"/>
    <w:rsid w:val="0032798C"/>
    <w:rsid w:val="003354C5"/>
    <w:rsid w:val="003366D7"/>
    <w:rsid w:val="00340850"/>
    <w:rsid w:val="003445E6"/>
    <w:rsid w:val="00346CE9"/>
    <w:rsid w:val="00347793"/>
    <w:rsid w:val="00347BD6"/>
    <w:rsid w:val="0035193F"/>
    <w:rsid w:val="00364515"/>
    <w:rsid w:val="003665FA"/>
    <w:rsid w:val="0036693A"/>
    <w:rsid w:val="003753FF"/>
    <w:rsid w:val="003764D0"/>
    <w:rsid w:val="00377771"/>
    <w:rsid w:val="0038202D"/>
    <w:rsid w:val="003825FB"/>
    <w:rsid w:val="00383D1B"/>
    <w:rsid w:val="00383D57"/>
    <w:rsid w:val="00386C98"/>
    <w:rsid w:val="00387AB7"/>
    <w:rsid w:val="00394983"/>
    <w:rsid w:val="003A5894"/>
    <w:rsid w:val="003A68E1"/>
    <w:rsid w:val="003A7077"/>
    <w:rsid w:val="003B0720"/>
    <w:rsid w:val="003B3FD8"/>
    <w:rsid w:val="003B61B9"/>
    <w:rsid w:val="003E0950"/>
    <w:rsid w:val="003E202F"/>
    <w:rsid w:val="003F7D48"/>
    <w:rsid w:val="00405262"/>
    <w:rsid w:val="00410924"/>
    <w:rsid w:val="00413877"/>
    <w:rsid w:val="004219F8"/>
    <w:rsid w:val="00421C62"/>
    <w:rsid w:val="0042311F"/>
    <w:rsid w:val="00425C4E"/>
    <w:rsid w:val="004279B4"/>
    <w:rsid w:val="00433116"/>
    <w:rsid w:val="00434887"/>
    <w:rsid w:val="00447337"/>
    <w:rsid w:val="0044780A"/>
    <w:rsid w:val="0045050C"/>
    <w:rsid w:val="00452575"/>
    <w:rsid w:val="00461CC5"/>
    <w:rsid w:val="00470E4B"/>
    <w:rsid w:val="00473F37"/>
    <w:rsid w:val="0048138A"/>
    <w:rsid w:val="004836E1"/>
    <w:rsid w:val="004845CD"/>
    <w:rsid w:val="00485533"/>
    <w:rsid w:val="00496BB8"/>
    <w:rsid w:val="00496C8D"/>
    <w:rsid w:val="004A2C2D"/>
    <w:rsid w:val="004A4BC5"/>
    <w:rsid w:val="004A6EC4"/>
    <w:rsid w:val="004B0DAA"/>
    <w:rsid w:val="004B56EA"/>
    <w:rsid w:val="004C7422"/>
    <w:rsid w:val="004D11F1"/>
    <w:rsid w:val="004D7C5A"/>
    <w:rsid w:val="004E3ACF"/>
    <w:rsid w:val="004E3B40"/>
    <w:rsid w:val="004E43C8"/>
    <w:rsid w:val="004F1C1D"/>
    <w:rsid w:val="004F4BED"/>
    <w:rsid w:val="0050078C"/>
    <w:rsid w:val="00506D0F"/>
    <w:rsid w:val="0050746D"/>
    <w:rsid w:val="005150F6"/>
    <w:rsid w:val="00524897"/>
    <w:rsid w:val="005263E2"/>
    <w:rsid w:val="005304A5"/>
    <w:rsid w:val="00537D05"/>
    <w:rsid w:val="0054711E"/>
    <w:rsid w:val="005521AE"/>
    <w:rsid w:val="00552EC0"/>
    <w:rsid w:val="00557F3C"/>
    <w:rsid w:val="005664D1"/>
    <w:rsid w:val="00571000"/>
    <w:rsid w:val="005762EF"/>
    <w:rsid w:val="00585B4B"/>
    <w:rsid w:val="005863DC"/>
    <w:rsid w:val="00586911"/>
    <w:rsid w:val="0059401E"/>
    <w:rsid w:val="005A6FE4"/>
    <w:rsid w:val="005B2881"/>
    <w:rsid w:val="005B6244"/>
    <w:rsid w:val="005C0222"/>
    <w:rsid w:val="005C28FB"/>
    <w:rsid w:val="005C56C9"/>
    <w:rsid w:val="005C5E71"/>
    <w:rsid w:val="005E18BA"/>
    <w:rsid w:val="005F2765"/>
    <w:rsid w:val="006000FF"/>
    <w:rsid w:val="006008F6"/>
    <w:rsid w:val="00606F5F"/>
    <w:rsid w:val="006142A5"/>
    <w:rsid w:val="00620867"/>
    <w:rsid w:val="006219D2"/>
    <w:rsid w:val="00623690"/>
    <w:rsid w:val="00634CD6"/>
    <w:rsid w:val="00635CA1"/>
    <w:rsid w:val="00656468"/>
    <w:rsid w:val="006625CC"/>
    <w:rsid w:val="006642C9"/>
    <w:rsid w:val="00676879"/>
    <w:rsid w:val="00677606"/>
    <w:rsid w:val="00683C14"/>
    <w:rsid w:val="006870DE"/>
    <w:rsid w:val="00690318"/>
    <w:rsid w:val="00694018"/>
    <w:rsid w:val="006A7011"/>
    <w:rsid w:val="006B6528"/>
    <w:rsid w:val="006C4528"/>
    <w:rsid w:val="006C4B8D"/>
    <w:rsid w:val="006D1127"/>
    <w:rsid w:val="006D16F9"/>
    <w:rsid w:val="006E0B9C"/>
    <w:rsid w:val="006E2EC5"/>
    <w:rsid w:val="006E5402"/>
    <w:rsid w:val="006F6892"/>
    <w:rsid w:val="00704DDD"/>
    <w:rsid w:val="00706926"/>
    <w:rsid w:val="00707F56"/>
    <w:rsid w:val="00712521"/>
    <w:rsid w:val="00714FF0"/>
    <w:rsid w:val="00716A88"/>
    <w:rsid w:val="007232D0"/>
    <w:rsid w:val="00727B1F"/>
    <w:rsid w:val="00730DFC"/>
    <w:rsid w:val="007406FB"/>
    <w:rsid w:val="00741122"/>
    <w:rsid w:val="00747678"/>
    <w:rsid w:val="00754AD2"/>
    <w:rsid w:val="007571B4"/>
    <w:rsid w:val="00757CBB"/>
    <w:rsid w:val="00765893"/>
    <w:rsid w:val="00773E95"/>
    <w:rsid w:val="00777043"/>
    <w:rsid w:val="0078344B"/>
    <w:rsid w:val="00784468"/>
    <w:rsid w:val="00792A9E"/>
    <w:rsid w:val="00797269"/>
    <w:rsid w:val="007974DF"/>
    <w:rsid w:val="007B7759"/>
    <w:rsid w:val="007C09D0"/>
    <w:rsid w:val="007C2251"/>
    <w:rsid w:val="007C53DD"/>
    <w:rsid w:val="007D5E5B"/>
    <w:rsid w:val="007E3210"/>
    <w:rsid w:val="007E3465"/>
    <w:rsid w:val="007E38F9"/>
    <w:rsid w:val="007E4BBB"/>
    <w:rsid w:val="007F0122"/>
    <w:rsid w:val="007F270E"/>
    <w:rsid w:val="007F3F72"/>
    <w:rsid w:val="007F40A3"/>
    <w:rsid w:val="00803B21"/>
    <w:rsid w:val="008042CC"/>
    <w:rsid w:val="00805508"/>
    <w:rsid w:val="008116B4"/>
    <w:rsid w:val="00813F37"/>
    <w:rsid w:val="0082625E"/>
    <w:rsid w:val="008278A9"/>
    <w:rsid w:val="008305F7"/>
    <w:rsid w:val="008629A7"/>
    <w:rsid w:val="00873575"/>
    <w:rsid w:val="008765D5"/>
    <w:rsid w:val="00881845"/>
    <w:rsid w:val="00887409"/>
    <w:rsid w:val="008A03E6"/>
    <w:rsid w:val="008B0578"/>
    <w:rsid w:val="008B7F54"/>
    <w:rsid w:val="008C3A4A"/>
    <w:rsid w:val="008C5671"/>
    <w:rsid w:val="008C5B14"/>
    <w:rsid w:val="008D2F88"/>
    <w:rsid w:val="008D3805"/>
    <w:rsid w:val="008E568D"/>
    <w:rsid w:val="008E612B"/>
    <w:rsid w:val="008E78FE"/>
    <w:rsid w:val="008F4F92"/>
    <w:rsid w:val="008F5F56"/>
    <w:rsid w:val="00903B30"/>
    <w:rsid w:val="00903FB9"/>
    <w:rsid w:val="00904870"/>
    <w:rsid w:val="00914288"/>
    <w:rsid w:val="0091565F"/>
    <w:rsid w:val="00922C55"/>
    <w:rsid w:val="0093049F"/>
    <w:rsid w:val="00931537"/>
    <w:rsid w:val="0094018C"/>
    <w:rsid w:val="00953B1E"/>
    <w:rsid w:val="009558D0"/>
    <w:rsid w:val="0096091D"/>
    <w:rsid w:val="0096109A"/>
    <w:rsid w:val="00962C7A"/>
    <w:rsid w:val="009725A3"/>
    <w:rsid w:val="00980782"/>
    <w:rsid w:val="0098234C"/>
    <w:rsid w:val="0099378A"/>
    <w:rsid w:val="00996EBA"/>
    <w:rsid w:val="009A29C7"/>
    <w:rsid w:val="009A32FF"/>
    <w:rsid w:val="009A34DE"/>
    <w:rsid w:val="009A6118"/>
    <w:rsid w:val="009B4A20"/>
    <w:rsid w:val="009B5A01"/>
    <w:rsid w:val="009C17D0"/>
    <w:rsid w:val="009C20CD"/>
    <w:rsid w:val="009D2E6F"/>
    <w:rsid w:val="009D6D6B"/>
    <w:rsid w:val="009D7379"/>
    <w:rsid w:val="009E427B"/>
    <w:rsid w:val="009E694A"/>
    <w:rsid w:val="009F02ED"/>
    <w:rsid w:val="009F2A4E"/>
    <w:rsid w:val="009F3CD3"/>
    <w:rsid w:val="00A005AA"/>
    <w:rsid w:val="00A01E68"/>
    <w:rsid w:val="00A050C0"/>
    <w:rsid w:val="00A116B5"/>
    <w:rsid w:val="00A316F1"/>
    <w:rsid w:val="00A34108"/>
    <w:rsid w:val="00A45409"/>
    <w:rsid w:val="00A51956"/>
    <w:rsid w:val="00A60A13"/>
    <w:rsid w:val="00A64279"/>
    <w:rsid w:val="00A678B7"/>
    <w:rsid w:val="00A67BD9"/>
    <w:rsid w:val="00A70C7E"/>
    <w:rsid w:val="00A732AE"/>
    <w:rsid w:val="00A816A8"/>
    <w:rsid w:val="00A83272"/>
    <w:rsid w:val="00AA0C52"/>
    <w:rsid w:val="00AA0F3B"/>
    <w:rsid w:val="00AA4AB2"/>
    <w:rsid w:val="00AB702D"/>
    <w:rsid w:val="00AD2AD1"/>
    <w:rsid w:val="00AD4EA7"/>
    <w:rsid w:val="00AD6842"/>
    <w:rsid w:val="00B071F6"/>
    <w:rsid w:val="00B17FB5"/>
    <w:rsid w:val="00B20F21"/>
    <w:rsid w:val="00B445F3"/>
    <w:rsid w:val="00B474D8"/>
    <w:rsid w:val="00B534A6"/>
    <w:rsid w:val="00B62219"/>
    <w:rsid w:val="00B6281A"/>
    <w:rsid w:val="00B63999"/>
    <w:rsid w:val="00B74AF2"/>
    <w:rsid w:val="00B800CB"/>
    <w:rsid w:val="00B834D8"/>
    <w:rsid w:val="00BA23F0"/>
    <w:rsid w:val="00BA5198"/>
    <w:rsid w:val="00BB3ED7"/>
    <w:rsid w:val="00BB7345"/>
    <w:rsid w:val="00BB7888"/>
    <w:rsid w:val="00BD06AA"/>
    <w:rsid w:val="00BD3381"/>
    <w:rsid w:val="00BE1017"/>
    <w:rsid w:val="00BE3D95"/>
    <w:rsid w:val="00BF10D1"/>
    <w:rsid w:val="00BF4BDC"/>
    <w:rsid w:val="00BF7493"/>
    <w:rsid w:val="00C03A5E"/>
    <w:rsid w:val="00C04827"/>
    <w:rsid w:val="00C12CC4"/>
    <w:rsid w:val="00C13A40"/>
    <w:rsid w:val="00C27707"/>
    <w:rsid w:val="00C27923"/>
    <w:rsid w:val="00C30121"/>
    <w:rsid w:val="00C35C85"/>
    <w:rsid w:val="00C37F0F"/>
    <w:rsid w:val="00C41046"/>
    <w:rsid w:val="00C4428E"/>
    <w:rsid w:val="00C464DE"/>
    <w:rsid w:val="00C502A6"/>
    <w:rsid w:val="00C52771"/>
    <w:rsid w:val="00C52E25"/>
    <w:rsid w:val="00C56905"/>
    <w:rsid w:val="00C64CCC"/>
    <w:rsid w:val="00C71FA8"/>
    <w:rsid w:val="00C73052"/>
    <w:rsid w:val="00C90347"/>
    <w:rsid w:val="00C964C4"/>
    <w:rsid w:val="00C96A88"/>
    <w:rsid w:val="00C97DB6"/>
    <w:rsid w:val="00CA1F82"/>
    <w:rsid w:val="00CB44FF"/>
    <w:rsid w:val="00CC001D"/>
    <w:rsid w:val="00CC4208"/>
    <w:rsid w:val="00CC62D5"/>
    <w:rsid w:val="00CD222A"/>
    <w:rsid w:val="00CD5A0C"/>
    <w:rsid w:val="00CE0A4A"/>
    <w:rsid w:val="00CE4116"/>
    <w:rsid w:val="00D02470"/>
    <w:rsid w:val="00D10120"/>
    <w:rsid w:val="00D104B4"/>
    <w:rsid w:val="00D14A26"/>
    <w:rsid w:val="00D26EF6"/>
    <w:rsid w:val="00D3149E"/>
    <w:rsid w:val="00D32A5A"/>
    <w:rsid w:val="00D36603"/>
    <w:rsid w:val="00D407BE"/>
    <w:rsid w:val="00D410E8"/>
    <w:rsid w:val="00D505FD"/>
    <w:rsid w:val="00D51E05"/>
    <w:rsid w:val="00D56021"/>
    <w:rsid w:val="00D605B6"/>
    <w:rsid w:val="00D60CF4"/>
    <w:rsid w:val="00D61A19"/>
    <w:rsid w:val="00D626C1"/>
    <w:rsid w:val="00D72BD6"/>
    <w:rsid w:val="00D769F1"/>
    <w:rsid w:val="00D76C8B"/>
    <w:rsid w:val="00D818A6"/>
    <w:rsid w:val="00D81ACC"/>
    <w:rsid w:val="00D82AB4"/>
    <w:rsid w:val="00D9062F"/>
    <w:rsid w:val="00D91CD5"/>
    <w:rsid w:val="00D94022"/>
    <w:rsid w:val="00D972B6"/>
    <w:rsid w:val="00DA2A87"/>
    <w:rsid w:val="00DA6883"/>
    <w:rsid w:val="00DC3BE2"/>
    <w:rsid w:val="00DC7D02"/>
    <w:rsid w:val="00DD220F"/>
    <w:rsid w:val="00DD3E36"/>
    <w:rsid w:val="00DE0D59"/>
    <w:rsid w:val="00DE1763"/>
    <w:rsid w:val="00DF65F1"/>
    <w:rsid w:val="00E01319"/>
    <w:rsid w:val="00E05BCE"/>
    <w:rsid w:val="00E05E89"/>
    <w:rsid w:val="00E13EA4"/>
    <w:rsid w:val="00E24210"/>
    <w:rsid w:val="00E32314"/>
    <w:rsid w:val="00E36D14"/>
    <w:rsid w:val="00E60BDA"/>
    <w:rsid w:val="00E60C37"/>
    <w:rsid w:val="00E61DBD"/>
    <w:rsid w:val="00E62F71"/>
    <w:rsid w:val="00E63FBA"/>
    <w:rsid w:val="00E65A2E"/>
    <w:rsid w:val="00E70199"/>
    <w:rsid w:val="00E71955"/>
    <w:rsid w:val="00E747E7"/>
    <w:rsid w:val="00E75E28"/>
    <w:rsid w:val="00E7649B"/>
    <w:rsid w:val="00E80DD3"/>
    <w:rsid w:val="00E92C88"/>
    <w:rsid w:val="00EB1CB1"/>
    <w:rsid w:val="00EB2272"/>
    <w:rsid w:val="00EB6EA2"/>
    <w:rsid w:val="00ED26C4"/>
    <w:rsid w:val="00ED2DE1"/>
    <w:rsid w:val="00ED7DC8"/>
    <w:rsid w:val="00EE0F0A"/>
    <w:rsid w:val="00EE4A15"/>
    <w:rsid w:val="00EF0688"/>
    <w:rsid w:val="00EF5158"/>
    <w:rsid w:val="00EF7EA5"/>
    <w:rsid w:val="00F00CDE"/>
    <w:rsid w:val="00F03DE4"/>
    <w:rsid w:val="00F05195"/>
    <w:rsid w:val="00F12C31"/>
    <w:rsid w:val="00F15E7C"/>
    <w:rsid w:val="00F16304"/>
    <w:rsid w:val="00F17039"/>
    <w:rsid w:val="00F20A57"/>
    <w:rsid w:val="00F25D0B"/>
    <w:rsid w:val="00F35F00"/>
    <w:rsid w:val="00F44412"/>
    <w:rsid w:val="00F52F53"/>
    <w:rsid w:val="00F54635"/>
    <w:rsid w:val="00F57025"/>
    <w:rsid w:val="00F66277"/>
    <w:rsid w:val="00F66643"/>
    <w:rsid w:val="00F66A2D"/>
    <w:rsid w:val="00F80533"/>
    <w:rsid w:val="00F84B25"/>
    <w:rsid w:val="00F940F9"/>
    <w:rsid w:val="00F972DC"/>
    <w:rsid w:val="00F97B1A"/>
    <w:rsid w:val="00FA1F88"/>
    <w:rsid w:val="00FB2ABB"/>
    <w:rsid w:val="00FB5640"/>
    <w:rsid w:val="00FC18EC"/>
    <w:rsid w:val="00FC2C4F"/>
    <w:rsid w:val="00FC56E8"/>
    <w:rsid w:val="00FC5978"/>
    <w:rsid w:val="00FD1698"/>
    <w:rsid w:val="00FD303A"/>
    <w:rsid w:val="00FD6663"/>
    <w:rsid w:val="00FE2062"/>
    <w:rsid w:val="00FE628B"/>
    <w:rsid w:val="00FF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146AA8"/>
    <w:pPr>
      <w:spacing w:before="100" w:beforeAutospacing="1" w:after="100" w:afterAutospacing="1"/>
    </w:pPr>
    <w:rPr>
      <w:noProof w:val="0"/>
      <w:spacing w:val="0"/>
      <w:sz w:val="24"/>
      <w:szCs w:val="24"/>
    </w:rPr>
  </w:style>
  <w:style w:type="character" w:customStyle="1" w:styleId="normal-h">
    <w:name w:val="normal-h"/>
    <w:basedOn w:val="DefaultParagraphFont"/>
    <w:rsid w:val="00146AA8"/>
  </w:style>
  <w:style w:type="paragraph" w:customStyle="1" w:styleId="n-dieund-p">
    <w:name w:val="n-dieund-p"/>
    <w:basedOn w:val="Normal"/>
    <w:rsid w:val="00146AA8"/>
    <w:pPr>
      <w:spacing w:before="100" w:beforeAutospacing="1" w:after="100" w:afterAutospacing="1"/>
    </w:pPr>
    <w:rPr>
      <w:noProof w:val="0"/>
      <w:spacing w:val="0"/>
      <w:sz w:val="24"/>
      <w:szCs w:val="24"/>
    </w:rPr>
  </w:style>
  <w:style w:type="character" w:customStyle="1" w:styleId="n-dieund-h">
    <w:name w:val="n-dieund-h"/>
    <w:basedOn w:val="DefaultParagraphFont"/>
    <w:rsid w:val="00146AA8"/>
  </w:style>
  <w:style w:type="paragraph" w:styleId="Footer">
    <w:name w:val="footer"/>
    <w:basedOn w:val="Normal"/>
    <w:link w:val="FooterChar"/>
    <w:uiPriority w:val="99"/>
    <w:rsid w:val="00D72BD6"/>
    <w:pPr>
      <w:tabs>
        <w:tab w:val="center" w:pos="4320"/>
        <w:tab w:val="right" w:pos="8640"/>
      </w:tabs>
    </w:pPr>
  </w:style>
  <w:style w:type="character" w:styleId="PageNumber">
    <w:name w:val="page number"/>
    <w:basedOn w:val="DefaultParagraphFont"/>
    <w:rsid w:val="00D72BD6"/>
  </w:style>
  <w:style w:type="paragraph" w:styleId="Header">
    <w:name w:val="header"/>
    <w:basedOn w:val="Normal"/>
    <w:rsid w:val="00D72BD6"/>
    <w:pPr>
      <w:tabs>
        <w:tab w:val="center" w:pos="4320"/>
        <w:tab w:val="right" w:pos="8640"/>
      </w:tabs>
    </w:pPr>
  </w:style>
  <w:style w:type="paragraph" w:customStyle="1" w:styleId="Char">
    <w:name w:val="Char"/>
    <w:basedOn w:val="Normal"/>
    <w:semiHidden/>
    <w:rsid w:val="000401D4"/>
    <w:pPr>
      <w:spacing w:after="160" w:line="240" w:lineRule="exact"/>
    </w:pPr>
    <w:rPr>
      <w:rFonts w:ascii="Arial" w:hAnsi="Arial" w:cs="Arial"/>
      <w:noProof w:val="0"/>
      <w:spacing w:val="0"/>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semiHidden/>
    <w:rsid w:val="00F972DC"/>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footnote ref,10 p, BVI fnr,Footnote dich"/>
    <w:semiHidden/>
    <w:rsid w:val="00F972DC"/>
    <w:rPr>
      <w:vertAlign w:val="superscript"/>
    </w:rPr>
  </w:style>
  <w:style w:type="paragraph" w:styleId="BalloonText">
    <w:name w:val="Balloon Text"/>
    <w:basedOn w:val="Normal"/>
    <w:link w:val="BalloonTextChar"/>
    <w:semiHidden/>
    <w:rsid w:val="00BA5198"/>
    <w:rPr>
      <w:rFonts w:ascii="Tahoma" w:hAnsi="Tahoma" w:cs="Tahoma"/>
      <w:noProof w:val="0"/>
      <w:spacing w:val="0"/>
      <w:sz w:val="16"/>
      <w:szCs w:val="16"/>
    </w:rPr>
  </w:style>
  <w:style w:type="character" w:customStyle="1" w:styleId="BalloonTextChar">
    <w:name w:val="Balloon Text Char"/>
    <w:link w:val="BalloonText"/>
    <w:semiHidden/>
    <w:rsid w:val="00BA5198"/>
    <w:rPr>
      <w:rFonts w:ascii="Tahoma" w:hAnsi="Tahoma" w:cs="Tahoma"/>
      <w:sz w:val="16"/>
      <w:szCs w:val="16"/>
      <w:lang w:val="en-US" w:eastAsia="en-US" w:bidi="ar-SA"/>
    </w:rPr>
  </w:style>
  <w:style w:type="table" w:styleId="TableGrid">
    <w:name w:val="Table Grid"/>
    <w:basedOn w:val="TableNormal"/>
    <w:rsid w:val="001A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rsid w:val="00623690"/>
    <w:rPr>
      <w:rFonts w:ascii="Times New Roman" w:hAnsi="Times New Roman" w:cs="Times New Roman"/>
      <w:sz w:val="28"/>
      <w:szCs w:val="28"/>
    </w:rPr>
  </w:style>
  <w:style w:type="character" w:customStyle="1" w:styleId="n-dieu-h">
    <w:name w:val="n-dieu-h"/>
    <w:rsid w:val="008E78FE"/>
    <w:rPr>
      <w:rFonts w:cs="Times New Roman"/>
    </w:rPr>
  </w:style>
  <w:style w:type="character" w:customStyle="1" w:styleId="n-dieund-h1">
    <w:name w:val="n-dieund-h1"/>
    <w:rsid w:val="00CC4208"/>
    <w:rPr>
      <w:rFonts w:cs="Times New Roman"/>
    </w:rPr>
  </w:style>
  <w:style w:type="paragraph" w:styleId="ListParagraph">
    <w:name w:val="List Paragraph"/>
    <w:basedOn w:val="Normal"/>
    <w:link w:val="ListParagraphChar"/>
    <w:uiPriority w:val="34"/>
    <w:qFormat/>
    <w:rsid w:val="00B62219"/>
    <w:pPr>
      <w:ind w:left="720"/>
      <w:contextualSpacing/>
    </w:pPr>
    <w:rPr>
      <w:noProof w:val="0"/>
      <w:spacing w:val="0"/>
    </w:rPr>
  </w:style>
  <w:style w:type="character" w:customStyle="1" w:styleId="ListParagraphChar">
    <w:name w:val="List Paragraph Char"/>
    <w:link w:val="ListParagraph"/>
    <w:uiPriority w:val="34"/>
    <w:rsid w:val="00B62219"/>
    <w:rPr>
      <w:sz w:val="28"/>
      <w:szCs w:val="28"/>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locked/>
    <w:rsid w:val="00803B21"/>
    <w:rPr>
      <w:noProof/>
      <w:spacing w:val="-4"/>
      <w:lang w:val="en-US" w:eastAsia="en-US"/>
    </w:rPr>
  </w:style>
  <w:style w:type="character" w:customStyle="1" w:styleId="FooterChar">
    <w:name w:val="Footer Char"/>
    <w:link w:val="Footer"/>
    <w:uiPriority w:val="99"/>
    <w:rsid w:val="003825FB"/>
    <w:rPr>
      <w:noProof/>
      <w:spacing w:val="-4"/>
      <w:sz w:val="28"/>
      <w:szCs w:val="28"/>
      <w:lang w:val="en-US" w:eastAsia="en-US"/>
    </w:rPr>
  </w:style>
  <w:style w:type="character" w:customStyle="1" w:styleId="normalchar1">
    <w:name w:val="normal__char1"/>
    <w:rsid w:val="002807FF"/>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146AA8"/>
    <w:pPr>
      <w:spacing w:before="100" w:beforeAutospacing="1" w:after="100" w:afterAutospacing="1"/>
    </w:pPr>
    <w:rPr>
      <w:noProof w:val="0"/>
      <w:spacing w:val="0"/>
      <w:sz w:val="24"/>
      <w:szCs w:val="24"/>
    </w:rPr>
  </w:style>
  <w:style w:type="character" w:customStyle="1" w:styleId="normal-h">
    <w:name w:val="normal-h"/>
    <w:basedOn w:val="DefaultParagraphFont"/>
    <w:rsid w:val="00146AA8"/>
  </w:style>
  <w:style w:type="paragraph" w:customStyle="1" w:styleId="n-dieund-p">
    <w:name w:val="n-dieund-p"/>
    <w:basedOn w:val="Normal"/>
    <w:rsid w:val="00146AA8"/>
    <w:pPr>
      <w:spacing w:before="100" w:beforeAutospacing="1" w:after="100" w:afterAutospacing="1"/>
    </w:pPr>
    <w:rPr>
      <w:noProof w:val="0"/>
      <w:spacing w:val="0"/>
      <w:sz w:val="24"/>
      <w:szCs w:val="24"/>
    </w:rPr>
  </w:style>
  <w:style w:type="character" w:customStyle="1" w:styleId="n-dieund-h">
    <w:name w:val="n-dieund-h"/>
    <w:basedOn w:val="DefaultParagraphFont"/>
    <w:rsid w:val="00146AA8"/>
  </w:style>
  <w:style w:type="paragraph" w:styleId="Footer">
    <w:name w:val="footer"/>
    <w:basedOn w:val="Normal"/>
    <w:link w:val="FooterChar"/>
    <w:uiPriority w:val="99"/>
    <w:rsid w:val="00D72BD6"/>
    <w:pPr>
      <w:tabs>
        <w:tab w:val="center" w:pos="4320"/>
        <w:tab w:val="right" w:pos="8640"/>
      </w:tabs>
    </w:pPr>
  </w:style>
  <w:style w:type="character" w:styleId="PageNumber">
    <w:name w:val="page number"/>
    <w:basedOn w:val="DefaultParagraphFont"/>
    <w:rsid w:val="00D72BD6"/>
  </w:style>
  <w:style w:type="paragraph" w:styleId="Header">
    <w:name w:val="header"/>
    <w:basedOn w:val="Normal"/>
    <w:rsid w:val="00D72BD6"/>
    <w:pPr>
      <w:tabs>
        <w:tab w:val="center" w:pos="4320"/>
        <w:tab w:val="right" w:pos="8640"/>
      </w:tabs>
    </w:pPr>
  </w:style>
  <w:style w:type="paragraph" w:customStyle="1" w:styleId="Char">
    <w:name w:val="Char"/>
    <w:basedOn w:val="Normal"/>
    <w:semiHidden/>
    <w:rsid w:val="000401D4"/>
    <w:pPr>
      <w:spacing w:after="160" w:line="240" w:lineRule="exact"/>
    </w:pPr>
    <w:rPr>
      <w:rFonts w:ascii="Arial" w:hAnsi="Arial" w:cs="Arial"/>
      <w:noProof w:val="0"/>
      <w:spacing w:val="0"/>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semiHidden/>
    <w:rsid w:val="00F972DC"/>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footnote ref,10 p, BVI fnr,Footnote dich"/>
    <w:semiHidden/>
    <w:rsid w:val="00F972DC"/>
    <w:rPr>
      <w:vertAlign w:val="superscript"/>
    </w:rPr>
  </w:style>
  <w:style w:type="paragraph" w:styleId="BalloonText">
    <w:name w:val="Balloon Text"/>
    <w:basedOn w:val="Normal"/>
    <w:link w:val="BalloonTextChar"/>
    <w:semiHidden/>
    <w:rsid w:val="00BA5198"/>
    <w:rPr>
      <w:rFonts w:ascii="Tahoma" w:hAnsi="Tahoma" w:cs="Tahoma"/>
      <w:noProof w:val="0"/>
      <w:spacing w:val="0"/>
      <w:sz w:val="16"/>
      <w:szCs w:val="16"/>
    </w:rPr>
  </w:style>
  <w:style w:type="character" w:customStyle="1" w:styleId="BalloonTextChar">
    <w:name w:val="Balloon Text Char"/>
    <w:link w:val="BalloonText"/>
    <w:semiHidden/>
    <w:rsid w:val="00BA5198"/>
    <w:rPr>
      <w:rFonts w:ascii="Tahoma" w:hAnsi="Tahoma" w:cs="Tahoma"/>
      <w:sz w:val="16"/>
      <w:szCs w:val="16"/>
      <w:lang w:val="en-US" w:eastAsia="en-US" w:bidi="ar-SA"/>
    </w:rPr>
  </w:style>
  <w:style w:type="table" w:styleId="TableGrid">
    <w:name w:val="Table Grid"/>
    <w:basedOn w:val="TableNormal"/>
    <w:rsid w:val="001A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rsid w:val="00623690"/>
    <w:rPr>
      <w:rFonts w:ascii="Times New Roman" w:hAnsi="Times New Roman" w:cs="Times New Roman"/>
      <w:sz w:val="28"/>
      <w:szCs w:val="28"/>
    </w:rPr>
  </w:style>
  <w:style w:type="character" w:customStyle="1" w:styleId="n-dieu-h">
    <w:name w:val="n-dieu-h"/>
    <w:rsid w:val="008E78FE"/>
    <w:rPr>
      <w:rFonts w:cs="Times New Roman"/>
    </w:rPr>
  </w:style>
  <w:style w:type="character" w:customStyle="1" w:styleId="n-dieund-h1">
    <w:name w:val="n-dieund-h1"/>
    <w:rsid w:val="00CC4208"/>
    <w:rPr>
      <w:rFonts w:cs="Times New Roman"/>
    </w:rPr>
  </w:style>
  <w:style w:type="paragraph" w:styleId="ListParagraph">
    <w:name w:val="List Paragraph"/>
    <w:basedOn w:val="Normal"/>
    <w:link w:val="ListParagraphChar"/>
    <w:uiPriority w:val="34"/>
    <w:qFormat/>
    <w:rsid w:val="00B62219"/>
    <w:pPr>
      <w:ind w:left="720"/>
      <w:contextualSpacing/>
    </w:pPr>
    <w:rPr>
      <w:noProof w:val="0"/>
      <w:spacing w:val="0"/>
    </w:rPr>
  </w:style>
  <w:style w:type="character" w:customStyle="1" w:styleId="ListParagraphChar">
    <w:name w:val="List Paragraph Char"/>
    <w:link w:val="ListParagraph"/>
    <w:uiPriority w:val="34"/>
    <w:rsid w:val="00B62219"/>
    <w:rPr>
      <w:sz w:val="28"/>
      <w:szCs w:val="28"/>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locked/>
    <w:rsid w:val="00803B21"/>
    <w:rPr>
      <w:noProof/>
      <w:spacing w:val="-4"/>
      <w:lang w:val="en-US" w:eastAsia="en-US"/>
    </w:rPr>
  </w:style>
  <w:style w:type="character" w:customStyle="1" w:styleId="FooterChar">
    <w:name w:val="Footer Char"/>
    <w:link w:val="Footer"/>
    <w:uiPriority w:val="99"/>
    <w:rsid w:val="003825FB"/>
    <w:rPr>
      <w:noProof/>
      <w:spacing w:val="-4"/>
      <w:sz w:val="28"/>
      <w:szCs w:val="28"/>
      <w:lang w:val="en-US" w:eastAsia="en-US"/>
    </w:rPr>
  </w:style>
  <w:style w:type="character" w:customStyle="1" w:styleId="normalchar1">
    <w:name w:val="normal__char1"/>
    <w:rsid w:val="002807FF"/>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0B00-93CC-4531-A768-41571C79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2026</Words>
  <Characters>7099</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trangvlt</dc:creator>
  <cp:lastModifiedBy>Anhthu</cp:lastModifiedBy>
  <cp:revision>4</cp:revision>
  <cp:lastPrinted>2017-09-20T02:25:00Z</cp:lastPrinted>
  <dcterms:created xsi:type="dcterms:W3CDTF">2017-09-20T11:37:00Z</dcterms:created>
  <dcterms:modified xsi:type="dcterms:W3CDTF">2017-09-22T03:34:00Z</dcterms:modified>
</cp:coreProperties>
</file>